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highlight w:val="none"/>
          <w:lang w:val="en-US"/>
        </w:rPr>
      </w:pPr>
      <w:r>
        <w:rPr>
          <w:b/>
        </w:rPr>
        <w:t>3GPP TSG RAN WG1 #109-e</w:t>
      </w:r>
      <w:r>
        <w:rPr>
          <w:b/>
        </w:rPr>
        <w:tab/>
      </w:r>
      <w:r>
        <w:rPr>
          <w:b/>
        </w:rPr>
        <w:tab/>
      </w:r>
      <w:r>
        <w:rPr>
          <w:b/>
        </w:rPr>
        <w:tab/>
      </w:r>
      <w:r>
        <w:rPr>
          <w:b/>
        </w:rPr>
        <w:t xml:space="preserve">                                                                  </w:t>
      </w:r>
      <w:bookmarkStart w:id="1" w:name="_GoBack"/>
      <w:r>
        <w:rPr>
          <w:b/>
          <w:highlight w:val="none"/>
        </w:rPr>
        <w:t>R1-220</w:t>
      </w:r>
      <w:r>
        <w:rPr>
          <w:rFonts w:hint="default"/>
          <w:b/>
          <w:highlight w:val="none"/>
          <w:lang w:val="en-US"/>
        </w:rPr>
        <w:t>4279</w:t>
      </w:r>
      <w:bookmarkEnd w:id="1"/>
    </w:p>
    <w:p>
      <w:pPr>
        <w:tabs>
          <w:tab w:val="left" w:pos="1985"/>
        </w:tabs>
        <w:spacing w:after="0"/>
        <w:ind w:left="1700" w:hanging="1701" w:hangingChars="850"/>
        <w:rPr>
          <w:b/>
        </w:rPr>
      </w:pPr>
      <w:r>
        <w:rPr>
          <w:b/>
        </w:rPr>
        <w:t>e-Meeting, May 9th – 20th, 2022</w:t>
      </w:r>
    </w:p>
    <w:p>
      <w:pPr>
        <w:tabs>
          <w:tab w:val="left" w:pos="1985"/>
        </w:tabs>
        <w:spacing w:after="0"/>
        <w:ind w:left="1700" w:hanging="1701" w:hangingChars="850"/>
        <w:rPr>
          <w:b/>
        </w:rPr>
      </w:pPr>
      <w:r>
        <w:rPr>
          <w:b/>
        </w:rPr>
        <w:t>Agenda item:</w:t>
      </w:r>
      <w:r>
        <w:rPr>
          <w:b/>
        </w:rPr>
        <w:tab/>
      </w:r>
      <w:r>
        <w:rPr>
          <w:rFonts w:hint="eastAsia"/>
          <w:b/>
          <w:highlight w:val="none"/>
        </w:rPr>
        <w:t>8.</w:t>
      </w:r>
      <w:r>
        <w:rPr>
          <w:b/>
          <w:highlight w:val="none"/>
        </w:rPr>
        <w:t>8.2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the remaining issues of joint channel estimation for PUSCH and PUCCH</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 xml:space="preserve">In the RAN1 #108e meeting, many issues had been solved except the dynamic &amp; semi-static events and the TPC command issue [1]. </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this contribution, we provide our views on the above two remaining issues of joint channel estimation of PUSCH.</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Remaining issues</w:t>
      </w:r>
    </w:p>
    <w:p>
      <w:pPr>
        <w:pStyle w:val="3"/>
        <w:numPr>
          <w:ilvl w:val="0"/>
          <w:numId w:val="0"/>
        </w:numPr>
        <w:rPr>
          <w:lang w:val="en-US"/>
        </w:rPr>
      </w:pPr>
      <w:r>
        <w:rPr>
          <w:rFonts w:hint="eastAsia"/>
          <w:lang w:val="en-US"/>
        </w:rPr>
        <w:t>2</w:t>
      </w:r>
      <w:r>
        <w:rPr>
          <w:lang w:val="en-US"/>
        </w:rPr>
        <w:t xml:space="preserve">.1 </w:t>
      </w:r>
      <w:r>
        <w:rPr>
          <w:rFonts w:hint="eastAsia"/>
          <w:lang w:val="en-US"/>
        </w:rPr>
        <w:t xml:space="preserve">Dynamic &amp; semi-static </w:t>
      </w:r>
      <w:r>
        <w:rPr>
          <w:lang w:val="en-US"/>
        </w:rPr>
        <w:t>events</w:t>
      </w:r>
    </w:p>
    <w:p>
      <w:pPr>
        <w:adjustRightInd w:val="0"/>
        <w:snapToGrid w:val="0"/>
        <w:spacing w:after="0"/>
        <w:jc w:val="both"/>
        <w:rPr>
          <w:lang w:eastAsia="zh-CN"/>
        </w:rPr>
      </w:pPr>
      <w:r>
        <w:rPr>
          <w:lang w:eastAsia="zh-CN"/>
        </w:rPr>
        <w:t xml:space="preserve">It was discussed for two meetings and no conclusion was reached in 108e meeting, whether a new actual window should be created when a dynamic event and a semi-static event are overlapped or a dynamic event is in front of one semi-static event.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The various understanding is due to one confirmed working assumption with a large number of bullets in #107e </w:t>
      </w:r>
      <w:r>
        <w:rPr>
          <w:rFonts w:hint="eastAsia"/>
          <w:lang w:eastAsia="zh-CN"/>
        </w:rPr>
        <w:t>[</w:t>
      </w:r>
      <w:r>
        <w:rPr>
          <w:lang w:eastAsia="zh-CN"/>
        </w:rPr>
        <w:t>2]. The conflicted part is copied below as Agreement #1. Meanwhile in the same meeting, another agreement related to the dynamic and semi-static event is achieved, as Agreement #2. The 2</w:t>
      </w:r>
      <w:r>
        <w:rPr>
          <w:vertAlign w:val="superscript"/>
          <w:lang w:eastAsia="zh-CN"/>
        </w:rPr>
        <w:t>nd</w:t>
      </w:r>
      <w:r>
        <w:rPr>
          <w:lang w:eastAsia="zh-CN"/>
        </w:rPr>
        <w:t xml:space="preserve"> agreement is more concrete and precise compared with the first one. And the 2</w:t>
      </w:r>
      <w:r>
        <w:rPr>
          <w:vertAlign w:val="superscript"/>
          <w:lang w:eastAsia="zh-CN"/>
        </w:rPr>
        <w:t>nd</w:t>
      </w:r>
      <w:r>
        <w:rPr>
          <w:lang w:eastAsia="zh-CN"/>
        </w:rPr>
        <w:t xml:space="preserve"> agreement is based on the same working assumption which was then confirmed and turns into the 1</w:t>
      </w:r>
      <w:r>
        <w:rPr>
          <w:vertAlign w:val="superscript"/>
          <w:lang w:eastAsia="zh-CN"/>
        </w:rPr>
        <w:t>st</w:t>
      </w:r>
      <w:r>
        <w:rPr>
          <w:lang w:eastAsia="zh-CN"/>
        </w:rPr>
        <w:t xml:space="preserve"> agreement. When we go through the background, it is clear that the 2</w:t>
      </w:r>
      <w:r>
        <w:rPr>
          <w:vertAlign w:val="superscript"/>
          <w:lang w:eastAsia="zh-CN"/>
        </w:rPr>
        <w:t>nd</w:t>
      </w:r>
      <w:r>
        <w:rPr>
          <w:lang w:eastAsia="zh-CN"/>
        </w:rPr>
        <w:t xml:space="preserve"> agreement should be baseline to further discuss the issue.</w:t>
      </w:r>
    </w:p>
    <w:p>
      <w:pPr>
        <w:adjustRightInd w:val="0"/>
        <w:snapToGrid w:val="0"/>
        <w:spacing w:after="0"/>
        <w:rPr>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rFonts w:eastAsia="Batang"/>
                <w:b/>
                <w:highlight w:val="green"/>
              </w:rPr>
            </w:pPr>
            <w:r>
              <w:rPr>
                <w:rFonts w:eastAsia="Batang"/>
                <w:b/>
                <w:highlight w:val="green"/>
              </w:rPr>
              <w:t>Agreement #1:</w:t>
            </w:r>
            <w:r>
              <w:rPr>
                <w:rFonts w:eastAsia="Batang"/>
                <w:b/>
              </w:rPr>
              <w:t xml:space="preserve"> (#107e)</w:t>
            </w:r>
          </w:p>
          <w:p>
            <w:pPr>
              <w:numPr>
                <w:ilvl w:val="1"/>
                <w:numId w:val="4"/>
              </w:numPr>
              <w:autoSpaceDE w:val="0"/>
              <w:autoSpaceDN w:val="0"/>
              <w:adjustRightInd w:val="0"/>
              <w:snapToGrid w:val="0"/>
              <w:spacing w:after="0"/>
              <w:jc w:val="both"/>
              <w:rPr>
                <w:lang w:eastAsia="ja-JP"/>
              </w:rPr>
            </w:pPr>
            <w:r>
              <w:rPr>
                <w:lang w:eastAsia="ja-JP"/>
              </w:rPr>
              <w:t>If the power consistency and phase continuity are violated due to an event</w:t>
            </w:r>
            <w:r>
              <w:t>, whether a new actual TDW is created is subject to UE capability of supporting restarting DMRS bundling.</w:t>
            </w:r>
          </w:p>
          <w:p>
            <w:pPr>
              <w:numPr>
                <w:ilvl w:val="2"/>
                <w:numId w:val="4"/>
              </w:numPr>
              <w:autoSpaceDE w:val="0"/>
              <w:autoSpaceDN w:val="0"/>
              <w:adjustRightInd w:val="0"/>
              <w:snapToGrid w:val="0"/>
              <w:spacing w:after="0"/>
              <w:jc w:val="both"/>
              <w:rPr>
                <w:lang w:eastAsia="ja-JP"/>
              </w:rPr>
            </w:pPr>
            <w:r>
              <w:t xml:space="preserve">If UE is capable of restarting DM-RS bundling, </w:t>
            </w:r>
            <w:r>
              <w:rPr>
                <w:lang w:eastAsia="ja-JP"/>
              </w:rPr>
              <w:t xml:space="preserve">one new actual TDW is created after the event, </w:t>
            </w:r>
          </w:p>
          <w:p>
            <w:pPr>
              <w:numPr>
                <w:ilvl w:val="3"/>
                <w:numId w:val="4"/>
              </w:numPr>
              <w:autoSpaceDE w:val="0"/>
              <w:autoSpaceDN w:val="0"/>
              <w:adjustRightInd w:val="0"/>
              <w:snapToGrid w:val="0"/>
              <w:spacing w:after="0"/>
              <w:jc w:val="both"/>
              <w:rPr>
                <w:rFonts w:ascii="Calibri" w:hAnsi="Calibri" w:cs="Calibri"/>
              </w:rPr>
            </w:pPr>
            <w:r>
              <w:t xml:space="preserve">FFS: The start of the new actual TDW is the first available slot/symbol for PUSCH transmission after the </w:t>
            </w:r>
            <w:r>
              <w:rPr>
                <w:lang w:eastAsia="ko-KR"/>
              </w:rPr>
              <w:t>event</w:t>
            </w:r>
            <w:r>
              <w:t>.</w:t>
            </w:r>
          </w:p>
          <w:p>
            <w:pPr>
              <w:numPr>
                <w:ilvl w:val="2"/>
                <w:numId w:val="4"/>
              </w:numPr>
              <w:autoSpaceDE w:val="0"/>
              <w:autoSpaceDN w:val="0"/>
              <w:adjustRightInd w:val="0"/>
              <w:snapToGrid w:val="0"/>
              <w:spacing w:after="0"/>
              <w:jc w:val="both"/>
            </w:pPr>
            <w:r>
              <w:t>If UE is not capable of restarting DM-RS bundling, no new actual TDW is created until the end of the configured TDW.</w:t>
            </w:r>
          </w:p>
          <w:p>
            <w:pPr>
              <w:adjustRightInd w:val="0"/>
              <w:snapToGrid w:val="0"/>
              <w:spacing w:after="0"/>
              <w:rPr>
                <w:lang w:eastAsia="zh-CN"/>
              </w:rPr>
            </w:pPr>
          </w:p>
          <w:p>
            <w:pPr>
              <w:adjustRightInd w:val="0"/>
              <w:snapToGrid w:val="0"/>
              <w:spacing w:after="0"/>
              <w:rPr>
                <w:rFonts w:eastAsia="Batang"/>
                <w:b/>
                <w:highlight w:val="green"/>
              </w:rPr>
            </w:pPr>
            <w:r>
              <w:rPr>
                <w:rFonts w:eastAsia="Batang"/>
                <w:b/>
                <w:highlight w:val="green"/>
              </w:rPr>
              <w:t>Agreement #2 :</w:t>
            </w:r>
            <w:r>
              <w:rPr>
                <w:rFonts w:eastAsia="Batang"/>
                <w:b/>
              </w:rPr>
              <w:t xml:space="preserve"> (#107e)</w:t>
            </w:r>
          </w:p>
          <w:p>
            <w:pPr>
              <w:pStyle w:val="33"/>
              <w:numPr>
                <w:ilvl w:val="0"/>
                <w:numId w:val="5"/>
              </w:numPr>
              <w:autoSpaceDE w:val="0"/>
              <w:autoSpaceDN w:val="0"/>
              <w:adjustRightInd w:val="0"/>
              <w:snapToGrid w:val="0"/>
              <w:spacing w:after="0"/>
              <w:ind w:firstLineChars="0"/>
              <w:rPr>
                <w:bCs/>
              </w:rPr>
            </w:pPr>
            <w:r>
              <w:rPr>
                <w:bCs/>
              </w:rPr>
              <w:t>If DM-RS bundling is supported, UE is mandatory to support restarting DM-RS bundling due to semi-static events. UE capability of restarting DMRS bundling is applied only to dynamic events.</w:t>
            </w:r>
          </w:p>
          <w:p>
            <w:pPr>
              <w:pStyle w:val="33"/>
              <w:numPr>
                <w:ilvl w:val="1"/>
                <w:numId w:val="6"/>
              </w:numPr>
              <w:autoSpaceDE w:val="0"/>
              <w:autoSpaceDN w:val="0"/>
              <w:adjustRightInd w:val="0"/>
              <w:snapToGrid w:val="0"/>
              <w:spacing w:after="0"/>
              <w:ind w:firstLineChars="0"/>
              <w:jc w:val="both"/>
              <w:rPr>
                <w:color w:val="000000"/>
              </w:rPr>
            </w:pPr>
            <w:r>
              <w:rPr>
                <w:color w:val="000000"/>
              </w:rPr>
              <w:t>A</w:t>
            </w:r>
            <w:r>
              <w:rPr>
                <w:bCs/>
                <w:color w:val="000000"/>
              </w:rPr>
              <w:t>n event is regarded as a dynamic event if it is triggered by a DCI or MAC-CE, otherwise it is regarded as a semi-static event.</w:t>
            </w:r>
          </w:p>
          <w:p>
            <w:pPr>
              <w:pStyle w:val="33"/>
              <w:numPr>
                <w:ilvl w:val="1"/>
                <w:numId w:val="6"/>
              </w:numPr>
              <w:autoSpaceDE w:val="0"/>
              <w:autoSpaceDN w:val="0"/>
              <w:adjustRightInd w:val="0"/>
              <w:snapToGrid w:val="0"/>
              <w:spacing w:after="0"/>
              <w:ind w:firstLineChars="0"/>
              <w:jc w:val="both"/>
              <w:rPr>
                <w:bCs/>
                <w:color w:val="000000"/>
              </w:rPr>
            </w:pPr>
            <w:r>
              <w:rPr>
                <w:rFonts w:hint="eastAsia" w:eastAsia="等线"/>
                <w:bCs/>
                <w:color w:val="000000"/>
                <w:lang w:eastAsia="zh-CN"/>
              </w:rPr>
              <w:t>N</w:t>
            </w:r>
            <w:r>
              <w:rPr>
                <w:rFonts w:eastAsia="等线"/>
                <w:bCs/>
                <w:color w:val="000000"/>
                <w:lang w:eastAsia="zh-CN"/>
              </w:rPr>
              <w:t xml:space="preserve">ote: At least </w:t>
            </w:r>
            <w:r>
              <w:rPr>
                <w:bCs/>
                <w:color w:val="000000"/>
              </w:rPr>
              <w:t>frequency hopping event is considered as semi-static event.</w:t>
            </w:r>
          </w:p>
          <w:p>
            <w:pPr>
              <w:adjustRightInd w:val="0"/>
              <w:snapToGrid w:val="0"/>
              <w:spacing w:after="0"/>
              <w:rPr>
                <w:lang w:eastAsia="zh-CN"/>
              </w:rPr>
            </w:pPr>
          </w:p>
        </w:tc>
      </w:tr>
    </w:tbl>
    <w:p>
      <w:pPr>
        <w:adjustRightInd w:val="0"/>
        <w:snapToGrid w:val="0"/>
        <w:spacing w:after="0"/>
        <w:rPr>
          <w:lang w:eastAsia="zh-CN"/>
        </w:rPr>
      </w:pPr>
    </w:p>
    <w:p>
      <w:pPr>
        <w:adjustRightInd w:val="0"/>
        <w:snapToGrid w:val="0"/>
        <w:spacing w:after="0"/>
        <w:rPr>
          <w:b/>
          <w:bCs/>
          <w:lang w:eastAsia="zh-CN"/>
        </w:rPr>
      </w:pPr>
      <w:r>
        <w:rPr>
          <w:b/>
          <w:bCs/>
          <w:lang w:eastAsia="zh-CN"/>
        </w:rPr>
        <w:t>Proposal 1:</w:t>
      </w:r>
    </w:p>
    <w:p>
      <w:pPr>
        <w:adjustRightInd w:val="0"/>
        <w:snapToGrid w:val="0"/>
        <w:spacing w:after="0"/>
        <w:rPr>
          <w:b/>
          <w:bCs/>
          <w:lang w:eastAsia="zh-CN"/>
        </w:rPr>
      </w:pPr>
      <w:r>
        <w:rPr>
          <w:b/>
          <w:bCs/>
          <w:lang w:eastAsia="zh-CN"/>
        </w:rPr>
        <w:t>I</w:t>
      </w:r>
      <w:r>
        <w:rPr>
          <w:rFonts w:hint="eastAsia"/>
          <w:b/>
          <w:bCs/>
          <w:lang w:eastAsia="zh-CN"/>
        </w:rPr>
        <w:t>t</w:t>
      </w:r>
      <w:r>
        <w:rPr>
          <w:b/>
          <w:bCs/>
          <w:lang w:eastAsia="zh-CN"/>
        </w:rPr>
        <w:t xml:space="preserve"> should be clarified for the meeting to use the 2</w:t>
      </w:r>
      <w:r>
        <w:rPr>
          <w:b/>
          <w:bCs/>
          <w:vertAlign w:val="superscript"/>
          <w:lang w:eastAsia="zh-CN"/>
        </w:rPr>
        <w:t>nd</w:t>
      </w:r>
      <w:r>
        <w:rPr>
          <w:b/>
          <w:bCs/>
          <w:lang w:eastAsia="zh-CN"/>
        </w:rPr>
        <w:t xml:space="preserve"> agreement above as the baseline to further discuss the issue of dynamic and semi-static events. </w:t>
      </w:r>
    </w:p>
    <w:p>
      <w:pPr>
        <w:adjustRightInd w:val="0"/>
        <w:snapToGrid w:val="0"/>
        <w:spacing w:after="0"/>
        <w:rPr>
          <w:lang w:eastAsia="zh-CN"/>
        </w:rPr>
      </w:pPr>
    </w:p>
    <w:p>
      <w:pPr>
        <w:adjustRightInd w:val="0"/>
        <w:snapToGrid w:val="0"/>
        <w:spacing w:after="0"/>
        <w:jc w:val="both"/>
        <w:rPr>
          <w:lang w:eastAsia="zh-CN"/>
        </w:rPr>
      </w:pPr>
      <w:r>
        <w:rPr>
          <w:lang w:eastAsia="zh-CN"/>
        </w:rPr>
        <w:t>I</w:t>
      </w:r>
      <w:r>
        <w:rPr>
          <w:rFonts w:hint="eastAsia"/>
          <w:lang w:eastAsia="zh-CN"/>
        </w:rPr>
        <w:t>n</w:t>
      </w:r>
      <w:r>
        <w:rPr>
          <w:lang w:eastAsia="zh-CN"/>
        </w:rPr>
        <w:t xml:space="preserve"> the 108e meeting, the second meeting to discuss this issue, companies still have diverse understanding for the behaviour.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Some company believes that if the UE do not support the capability of restarting DMRS bundling, even after the semi-static event, the UE cannot resume the DMRS bundling. The other party thinks that UE will mandate to resume DMRS bundling after the semi-static event. We share the similar idea that the UE could resume the capability of maintain the power consistency and phase continuity after the semi-static events. Form our understanding, the difference between dynamic event and semi-static event is how much time would be cost for UE to resume the capability of maintaining the power consistency and phase continuity. The semi-static events are mainly RRC configured. The UE would have the knowledge when should the DMRS bundling resume before the event and could prepare for it. But UE cannot estimate the dynamic event and cannot do the preparation. Then it requires a capability for UE to resume the DMRS bundling in a short time. Based on the understanding above, a UE could resume the DMRS bundling after a semi-static event which is after one or multiple dynamic events or overlapping with a dynamic event. On the opposite side, if the UE cannot resume DMRS bundling once dynamic event happened, the using scenarios are very limited and event it cannot work in the field.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From our understanding, the specification captures the TDW and the events clearly. According to the draft text proposal [3], one actual TDW would be created after the listed semi-static events and an actual TDW would be created after the listed dynamic events subject to UE capability. For the semi-static events, one actual TDW is mandatory to be created after the event without the requirement of UE capability. Then if the listed semi-static events happen after the dynamic events, UE should create one actual TDW. On </w:t>
      </w:r>
      <w:r>
        <w:rPr>
          <w:rFonts w:hint="eastAsia"/>
          <w:lang w:eastAsia="zh-CN"/>
        </w:rPr>
        <w:t>the</w:t>
      </w:r>
      <w:r>
        <w:rPr>
          <w:lang w:eastAsia="zh-CN"/>
        </w:rPr>
        <w:t xml:space="preserve"> other hand, the dynamic and semi-static event issue is still controversy since companies have different understanding. We are open for further updates the specification to clarify this issue. </w:t>
      </w:r>
    </w:p>
    <w:p>
      <w:pPr>
        <w:adjustRightInd w:val="0"/>
        <w:snapToGrid w:val="0"/>
        <w:spacing w:after="0"/>
        <w:jc w:val="both"/>
        <w:rPr>
          <w:lang w:eastAsia="zh-CN"/>
        </w:rPr>
      </w:pPr>
    </w:p>
    <w:p>
      <w:pPr>
        <w:adjustRightInd w:val="0"/>
        <w:snapToGrid w:val="0"/>
        <w:spacing w:after="0"/>
        <w:jc w:val="both"/>
        <w:rPr>
          <w:b/>
          <w:bCs/>
          <w:lang w:eastAsia="zh-CN"/>
        </w:rPr>
      </w:pPr>
      <w:r>
        <w:rPr>
          <w:b/>
          <w:bCs/>
          <w:lang w:eastAsia="zh-CN"/>
        </w:rPr>
        <w:t>Proposal 2:</w:t>
      </w:r>
    </w:p>
    <w:p>
      <w:pPr>
        <w:adjustRightInd w:val="0"/>
        <w:snapToGrid w:val="0"/>
        <w:spacing w:after="0"/>
        <w:rPr>
          <w:b/>
          <w:bCs/>
        </w:rPr>
      </w:pPr>
      <w:r>
        <w:rPr>
          <w:rFonts w:eastAsia="MS Mincho"/>
          <w:b/>
          <w:bCs/>
          <w:lang w:eastAsia="ja-JP"/>
        </w:rPr>
        <w:t>For UE not capable of restarting DM-RS bundling,</w:t>
      </w:r>
    </w:p>
    <w:p>
      <w:pPr>
        <w:pStyle w:val="33"/>
        <w:numPr>
          <w:ilvl w:val="0"/>
          <w:numId w:val="7"/>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33"/>
        <w:numPr>
          <w:ilvl w:val="0"/>
          <w:numId w:val="7"/>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3: </w:t>
      </w:r>
    </w:p>
    <w:p>
      <w:pPr>
        <w:autoSpaceDE w:val="0"/>
        <w:autoSpaceDN w:val="0"/>
        <w:adjustRightInd w:val="0"/>
        <w:snapToGrid w:val="0"/>
        <w:spacing w:after="0"/>
        <w:jc w:val="both"/>
        <w:rPr>
          <w:b/>
          <w:bCs/>
          <w:lang w:eastAsia="zh-CN"/>
        </w:rPr>
      </w:pPr>
      <w:r>
        <w:rPr>
          <w:b/>
          <w:bCs/>
          <w:lang w:eastAsia="zh-CN"/>
        </w:rPr>
        <w:t xml:space="preserve">The specification could be updated to clarify this dynamic and semi-static event issue. </w:t>
      </w:r>
    </w:p>
    <w:p>
      <w:pPr>
        <w:adjustRightInd w:val="0"/>
        <w:snapToGrid w:val="0"/>
        <w:spacing w:after="0"/>
        <w:rPr>
          <w:lang w:eastAsia="zh-CN"/>
        </w:rPr>
      </w:pPr>
    </w:p>
    <w:p>
      <w:pPr>
        <w:pStyle w:val="3"/>
        <w:numPr>
          <w:ilvl w:val="0"/>
          <w:numId w:val="0"/>
        </w:numPr>
        <w:rPr>
          <w:lang w:val="en-US"/>
        </w:rPr>
      </w:pPr>
      <w:r>
        <w:rPr>
          <w:rFonts w:hint="eastAsia"/>
          <w:lang w:val="en-US"/>
        </w:rPr>
        <w:t>2</w:t>
      </w:r>
      <w:r>
        <w:rPr>
          <w:lang w:val="en-US"/>
        </w:rPr>
        <w:t>.2 TPC command</w:t>
      </w:r>
    </w:p>
    <w:p>
      <w:pPr>
        <w:adjustRightInd w:val="0"/>
        <w:snapToGrid w:val="0"/>
        <w:spacing w:after="0"/>
        <w:jc w:val="both"/>
        <w:rPr>
          <w:lang w:eastAsia="zh-CN"/>
        </w:rPr>
      </w:pPr>
      <w:r>
        <w:rPr>
          <w:lang w:eastAsia="zh-CN"/>
        </w:rPr>
        <w:t xml:space="preserve">In the last meeting, </w:t>
      </w:r>
    </w:p>
    <w:p>
      <w:pPr>
        <w:adjustRightInd w:val="0"/>
        <w:snapToGrid w:val="0"/>
        <w:spacing w:after="0"/>
        <w:jc w:val="both"/>
        <w:rPr>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numPr>
                <w:ilvl w:val="0"/>
                <w:numId w:val="8"/>
              </w:numPr>
              <w:adjustRightInd w:val="0"/>
              <w:snapToGrid w:val="0"/>
              <w:spacing w:after="0"/>
              <w:ind w:left="422" w:hanging="422"/>
              <w:jc w:val="both"/>
              <w:rPr>
                <w:szCs w:val="21"/>
              </w:rPr>
            </w:pPr>
            <w:r>
              <w:rPr>
                <w:b/>
                <w:szCs w:val="21"/>
              </w:rPr>
              <w:t xml:space="preserve">Option 1: </w:t>
            </w:r>
            <w:r>
              <w:rPr>
                <w:rFonts w:eastAsia="Times New Roman"/>
                <w:szCs w:val="21"/>
              </w:rPr>
              <w:t xml:space="preserve">Legacy definition of </w:t>
            </w:r>
            <m:oMath>
              <m:sSub>
                <m:sSubPr>
                  <m:ctrlPr>
                    <w:rPr>
                      <w:rFonts w:ascii="Cambria Math" w:hAnsi="Cambria Math" w:eastAsia="Times New Roman"/>
                      <w:szCs w:val="21"/>
                    </w:rPr>
                  </m:ctrlPr>
                </m:sSubPr>
                <m:e>
                  <m:r>
                    <m:rPr/>
                    <w:rPr>
                      <w:rFonts w:ascii="Cambria Math" w:hAnsi="Cambria Math" w:eastAsia="Times New Roman"/>
                      <w:szCs w:val="21"/>
                    </w:rPr>
                    <m:t>K</m:t>
                  </m:r>
                  <m:ctrlPr>
                    <w:rPr>
                      <w:rFonts w:ascii="Cambria Math" w:hAnsi="Cambria Math" w:eastAsia="Times New Roman"/>
                      <w:szCs w:val="21"/>
                    </w:rPr>
                  </m:ctrlPr>
                </m:e>
                <m:sub>
                  <m:r>
                    <m:rPr>
                      <m:sty m:val="p"/>
                    </m:rPr>
                    <w:rPr>
                      <w:rFonts w:ascii="Cambria Math" w:hAnsi="Cambria Math" w:eastAsia="Times New Roman"/>
                      <w:szCs w:val="21"/>
                    </w:rPr>
                    <m:t>PUSCH</m:t>
                  </m:r>
                  <m:ctrlPr>
                    <w:rPr>
                      <w:rFonts w:ascii="Cambria Math" w:hAnsi="Cambria Math" w:eastAsia="Times New Roman"/>
                      <w:szCs w:val="21"/>
                    </w:rPr>
                  </m:ctrlPr>
                </m:sub>
              </m:sSub>
              <m:d>
                <m:dPr>
                  <m:ctrlPr>
                    <w:rPr>
                      <w:rFonts w:ascii="Cambria Math" w:hAnsi="Cambria Math" w:eastAsia="Times New Roman"/>
                      <w:szCs w:val="21"/>
                    </w:rPr>
                  </m:ctrlPr>
                </m:dPr>
                <m:e>
                  <m:r>
                    <m:rPr/>
                    <w:rPr>
                      <w:rFonts w:ascii="Cambria Math" w:hAnsi="Cambria Math" w:eastAsia="Times New Roman"/>
                      <w:szCs w:val="21"/>
                    </w:rPr>
                    <m:t>i</m:t>
                  </m:r>
                  <m:ctrlPr>
                    <w:rPr>
                      <w:rFonts w:ascii="Cambria Math" w:hAnsi="Cambria Math" w:eastAsia="Times New Roman"/>
                      <w:szCs w:val="21"/>
                    </w:rPr>
                  </m:ctrlPr>
                </m:e>
              </m:d>
            </m:oMath>
            <w:r>
              <w:rPr>
                <w:rFonts w:eastAsia="Times New Roman"/>
                <w:szCs w:val="21"/>
              </w:rPr>
              <w:t xml:space="preserve"> is preserved for PUSCH transmissions without DM-RS bundling. Redefine </w:t>
            </w:r>
            <m:oMath>
              <m:sSub>
                <m:sSubPr>
                  <m:ctrlPr>
                    <w:rPr>
                      <w:rFonts w:ascii="Cambria Math" w:hAnsi="Cambria Math" w:eastAsia="Times New Roman"/>
                      <w:i/>
                      <w:szCs w:val="21"/>
                    </w:rPr>
                  </m:ctrlPr>
                </m:sSubPr>
                <m:e>
                  <m:r>
                    <m:rPr/>
                    <w:rPr>
                      <w:rFonts w:ascii="Cambria Math" w:hAnsi="Cambria Math" w:eastAsia="Times New Roman"/>
                      <w:szCs w:val="21"/>
                    </w:rPr>
                    <m:t>K</m:t>
                  </m:r>
                  <m:ctrlPr>
                    <w:rPr>
                      <w:rFonts w:ascii="Cambria Math" w:hAnsi="Cambria Math" w:eastAsia="Times New Roman"/>
                      <w:i/>
                      <w:szCs w:val="21"/>
                    </w:rPr>
                  </m:ctrlPr>
                </m:e>
                <m:sub>
                  <m:r>
                    <m:rPr>
                      <m:sty m:val="p"/>
                    </m:rPr>
                    <w:rPr>
                      <w:rFonts w:ascii="Cambria Math" w:hAnsi="Cambria Math" w:eastAsia="Times New Roman"/>
                      <w:szCs w:val="21"/>
                    </w:rPr>
                    <m:t>PUSCH</m:t>
                  </m:r>
                  <m:ctrlPr>
                    <w:rPr>
                      <w:rFonts w:ascii="Cambria Math" w:hAnsi="Cambria Math" w:eastAsia="Times New Roman"/>
                      <w:i/>
                      <w:szCs w:val="21"/>
                    </w:rPr>
                  </m:ctrlPr>
                </m:sub>
              </m:sSub>
              <m:d>
                <m:dPr>
                  <m:ctrlPr>
                    <w:rPr>
                      <w:rFonts w:ascii="Cambria Math" w:hAnsi="Cambria Math" w:eastAsia="Times New Roman"/>
                      <w:szCs w:val="21"/>
                    </w:rPr>
                  </m:ctrlPr>
                </m:dPr>
                <m:e>
                  <m:r>
                    <m:rPr/>
                    <w:rPr>
                      <w:rFonts w:ascii="Cambria Math" w:hAnsi="Cambria Math" w:eastAsia="Times New Roman"/>
                      <w:szCs w:val="21"/>
                    </w:rPr>
                    <m:t>i</m:t>
                  </m:r>
                  <m:ctrlPr>
                    <w:rPr>
                      <w:rFonts w:ascii="Cambria Math" w:hAnsi="Cambria Math" w:eastAsia="Times New Roman"/>
                      <w:szCs w:val="21"/>
                    </w:rPr>
                  </m:ctrlPr>
                </m:e>
              </m:d>
            </m:oMath>
            <w:r>
              <w:rPr>
                <w:rFonts w:eastAsia="Times New Roman"/>
                <w:szCs w:val="21"/>
              </w:rPr>
              <w:t xml:space="preserve"> for PUSCH transmissions within a nominal TDW in case of DM-RS bundling. e.g., </w:t>
            </w:r>
            <m:oMath>
              <m:sSub>
                <m:sSubPr>
                  <m:ctrlPr>
                    <w:rPr>
                      <w:rFonts w:ascii="Cambria Math" w:hAnsi="Cambria Math" w:eastAsia="Times New Roman"/>
                      <w:i/>
                      <w:szCs w:val="21"/>
                    </w:rPr>
                  </m:ctrlPr>
                </m:sSubPr>
                <m:e>
                  <m:r>
                    <m:rPr/>
                    <w:rPr>
                      <w:rFonts w:ascii="Cambria Math" w:hAnsi="Cambria Math" w:eastAsia="Times New Roman"/>
                      <w:szCs w:val="21"/>
                    </w:rPr>
                    <m:t>K</m:t>
                  </m:r>
                  <m:ctrlPr>
                    <w:rPr>
                      <w:rFonts w:ascii="Cambria Math" w:hAnsi="Cambria Math" w:eastAsia="Times New Roman"/>
                      <w:i/>
                      <w:szCs w:val="21"/>
                    </w:rPr>
                  </m:ctrlPr>
                </m:e>
                <m:sub>
                  <m:r>
                    <m:rPr>
                      <m:sty m:val="p"/>
                    </m:rPr>
                    <w:rPr>
                      <w:rFonts w:ascii="Cambria Math" w:hAnsi="Cambria Math" w:eastAsia="Times New Roman"/>
                      <w:szCs w:val="21"/>
                    </w:rPr>
                    <m:t>PUSCH</m:t>
                  </m:r>
                  <m:ctrlPr>
                    <w:rPr>
                      <w:rFonts w:ascii="Cambria Math" w:hAnsi="Cambria Math" w:eastAsia="Times New Roman"/>
                      <w:i/>
                      <w:szCs w:val="21"/>
                    </w:rPr>
                  </m:ctrlPr>
                </m:sub>
              </m:sSub>
              <m:d>
                <m:dPr>
                  <m:ctrlPr>
                    <w:rPr>
                      <w:rFonts w:ascii="Cambria Math" w:hAnsi="Cambria Math" w:eastAsia="Times New Roman"/>
                      <w:szCs w:val="21"/>
                    </w:rPr>
                  </m:ctrlPr>
                </m:dPr>
                <m:e>
                  <m:r>
                    <m:rPr/>
                    <w:rPr>
                      <w:rFonts w:ascii="Cambria Math" w:hAnsi="Cambria Math" w:eastAsia="Times New Roman"/>
                      <w:szCs w:val="21"/>
                    </w:rPr>
                    <m:t>i</m:t>
                  </m:r>
                  <m:ctrlPr>
                    <w:rPr>
                      <w:rFonts w:ascii="Cambria Math" w:hAnsi="Cambria Math" w:eastAsia="Times New Roman"/>
                      <w:szCs w:val="21"/>
                    </w:rPr>
                  </m:ctrlPr>
                </m:e>
              </m:d>
            </m:oMath>
            <w:r>
              <w:rPr>
                <w:rFonts w:eastAsia="Times New Roman"/>
                <w:szCs w:val="21"/>
              </w:rPr>
              <w:t xml:space="preserve"> is a number of symbols from </w:t>
            </w:r>
            <w:r>
              <w:rPr>
                <w:rFonts w:eastAsia="Times New Roman"/>
                <w:i/>
                <w:szCs w:val="21"/>
              </w:rPr>
              <w:t>K</w:t>
            </w:r>
            <w:r>
              <w:rPr>
                <w:rFonts w:eastAsia="Times New Roman"/>
                <w:szCs w:val="21"/>
              </w:rPr>
              <w:t xml:space="preserve"> symbols before the start of </w:t>
            </w:r>
            <w:r>
              <w:rPr>
                <w:color w:val="FF0000"/>
                <w:szCs w:val="21"/>
              </w:rPr>
              <w:t>the first repetition within</w:t>
            </w:r>
            <w:r>
              <w:rPr>
                <w:rFonts w:eastAsia="Times New Roman"/>
                <w:szCs w:val="21"/>
              </w:rPr>
              <w:t xml:space="preserve"> the nominal time domain window including the transmission occasion </w:t>
            </w:r>
            <w:r>
              <w:rPr>
                <w:rFonts w:eastAsia="Times New Roman"/>
                <w:i/>
                <w:szCs w:val="21"/>
              </w:rPr>
              <w:t>i</w:t>
            </w:r>
            <w:r>
              <w:rPr>
                <w:rFonts w:eastAsia="Times New Roman"/>
                <w:szCs w:val="21"/>
              </w:rPr>
              <w:t xml:space="preserve"> and before a first symbol of the transmission occasion </w:t>
            </w:r>
            <w:r>
              <w:rPr>
                <w:rFonts w:eastAsia="Times New Roman"/>
                <w:i/>
                <w:szCs w:val="21"/>
              </w:rPr>
              <w:t>i</w:t>
            </w:r>
            <w:r>
              <w:rPr>
                <w:rFonts w:eastAsia="Times New Roman"/>
                <w:szCs w:val="21"/>
              </w:rPr>
              <w:t>.</w:t>
            </w:r>
          </w:p>
          <w:p>
            <w:pPr>
              <w:numPr>
                <w:ilvl w:val="2"/>
                <w:numId w:val="9"/>
              </w:numPr>
              <w:adjustRightInd w:val="0"/>
              <w:snapToGrid w:val="0"/>
              <w:spacing w:after="156" w:afterLines="50"/>
              <w:ind w:left="200" w:leftChars="100"/>
              <w:jc w:val="both"/>
              <w:rPr>
                <w:rFonts w:eastAsia="Times New Roman"/>
                <w:szCs w:val="21"/>
              </w:rPr>
            </w:pPr>
            <w:r>
              <w:rPr>
                <w:rFonts w:eastAsia="Times New Roman"/>
                <w:szCs w:val="21"/>
              </w:rPr>
              <w:t xml:space="preserve">FFS: the value of K, e.g., K is “a number of </w:t>
            </w:r>
            <m:oMath>
              <m:sSub>
                <m:sSubPr>
                  <m:ctrlPr>
                    <w:rPr>
                      <w:rFonts w:ascii="Cambria Math" w:hAnsi="Cambria Math" w:eastAsia="Times New Roman"/>
                      <w:szCs w:val="21"/>
                    </w:rPr>
                  </m:ctrlPr>
                </m:sSubPr>
                <m:e>
                  <m:r>
                    <m:rPr/>
                    <w:rPr>
                      <w:rFonts w:ascii="Cambria Math" w:hAnsi="Cambria Math" w:eastAsia="Times New Roman"/>
                      <w:szCs w:val="21"/>
                    </w:rPr>
                    <m:t>K</m:t>
                  </m:r>
                  <m:ctrlPr>
                    <w:rPr>
                      <w:rFonts w:ascii="Cambria Math" w:hAnsi="Cambria Math" w:eastAsia="Times New Roman"/>
                      <w:szCs w:val="21"/>
                    </w:rPr>
                  </m:ctrlPr>
                </m:e>
                <m:sub>
                  <m:r>
                    <m:rPr/>
                    <w:rPr>
                      <w:rFonts w:ascii="Cambria Math" w:hAnsi="Cambria Math" w:eastAsia="Times New Roman"/>
                      <w:szCs w:val="21"/>
                    </w:rPr>
                    <m:t>PUSCH</m:t>
                  </m:r>
                  <m:r>
                    <m:rPr>
                      <m:sty m:val="p"/>
                    </m:rPr>
                    <w:rPr>
                      <w:rFonts w:ascii="Cambria Math" w:hAnsi="Cambria Math" w:eastAsia="Times New Roman"/>
                      <w:szCs w:val="21"/>
                    </w:rPr>
                    <m:t>,</m:t>
                  </m:r>
                  <m:r>
                    <m:rPr/>
                    <w:rPr>
                      <w:rFonts w:ascii="Cambria Math" w:hAnsi="Cambria Math" w:eastAsia="Times New Roman"/>
                      <w:szCs w:val="21"/>
                    </w:rPr>
                    <m:t>min</m:t>
                  </m:r>
                  <m:ctrlPr>
                    <w:rPr>
                      <w:rFonts w:ascii="Cambria Math" w:hAnsi="Cambria Math" w:eastAsia="Times New Roman"/>
                      <w:szCs w:val="21"/>
                    </w:rPr>
                  </m:ctrlPr>
                </m:sub>
              </m:sSub>
            </m:oMath>
            <w:r>
              <w:rPr>
                <w:rFonts w:eastAsia="Times New Roman"/>
                <w:szCs w:val="21"/>
              </w:rPr>
              <w:t xml:space="preserve"> symbols equal to the product of a number of symbols per slot, </w:t>
            </w:r>
            <m:oMath>
              <m:sSubSup>
                <m:sSubSupPr>
                  <m:ctrlPr>
                    <w:rPr>
                      <w:rFonts w:ascii="Cambria Math" w:hAnsi="Cambria Math" w:eastAsia="Times New Roman"/>
                      <w:szCs w:val="21"/>
                    </w:rPr>
                  </m:ctrlPr>
                </m:sSubSupPr>
                <m:e>
                  <m:r>
                    <m:rPr/>
                    <w:rPr>
                      <w:rFonts w:ascii="Cambria Math" w:hAnsi="Cambria Math" w:eastAsia="Times New Roman"/>
                      <w:szCs w:val="21"/>
                    </w:rPr>
                    <m:t>N</m:t>
                  </m:r>
                  <m:ctrlPr>
                    <w:rPr>
                      <w:rFonts w:ascii="Cambria Math" w:hAnsi="Cambria Math" w:eastAsia="Times New Roman"/>
                      <w:szCs w:val="21"/>
                    </w:rPr>
                  </m:ctrlPr>
                </m:e>
                <m:sub>
                  <m:r>
                    <m:rPr/>
                    <w:rPr>
                      <w:rFonts w:ascii="Cambria Math" w:hAnsi="Cambria Math" w:eastAsia="Times New Roman"/>
                      <w:szCs w:val="21"/>
                    </w:rPr>
                    <m:t>symb</m:t>
                  </m:r>
                  <m:ctrlPr>
                    <w:rPr>
                      <w:rFonts w:ascii="Cambria Math" w:hAnsi="Cambria Math" w:eastAsia="Times New Roman"/>
                      <w:szCs w:val="21"/>
                    </w:rPr>
                  </m:ctrlPr>
                </m:sub>
                <m:sup>
                  <m:r>
                    <m:rPr/>
                    <w:rPr>
                      <w:rFonts w:ascii="Cambria Math" w:hAnsi="Cambria Math" w:eastAsia="Times New Roman"/>
                      <w:szCs w:val="21"/>
                    </w:rPr>
                    <m:t>slot</m:t>
                  </m:r>
                  <m:ctrlPr>
                    <w:rPr>
                      <w:rFonts w:ascii="Cambria Math" w:hAnsi="Cambria Math" w:eastAsia="Times New Roman"/>
                      <w:szCs w:val="21"/>
                    </w:rPr>
                  </m:ctrlPr>
                </m:sup>
              </m:sSubSup>
            </m:oMath>
            <w:r>
              <w:rPr>
                <w:rFonts w:eastAsia="Times New Roman"/>
                <w:szCs w:val="21"/>
              </w:rPr>
              <w:t xml:space="preserve">, and the minimum of the values provided by k2 in PUSCH-ConfigCommon for active UL BWP </w:t>
            </w:r>
            <m:oMath>
              <m:r>
                <m:rPr/>
                <w:rPr>
                  <w:rFonts w:ascii="Cambria Math" w:hAnsi="Cambria Math" w:eastAsia="Times New Roman"/>
                  <w:szCs w:val="21"/>
                </w:rPr>
                <m:t>b</m:t>
              </m:r>
            </m:oMath>
            <w:r>
              <w:rPr>
                <w:rFonts w:eastAsia="Times New Roman"/>
                <w:szCs w:val="21"/>
              </w:rPr>
              <w:t xml:space="preserve"> of carrier </w:t>
            </w:r>
            <m:oMath>
              <m:r>
                <m:rPr/>
                <w:rPr>
                  <w:rFonts w:ascii="Cambria Math" w:hAnsi="Cambria Math" w:eastAsia="Times New Roman"/>
                  <w:szCs w:val="21"/>
                </w:rPr>
                <m:t>f</m:t>
              </m:r>
            </m:oMath>
            <w:r>
              <w:rPr>
                <w:rFonts w:eastAsia="Times New Roman"/>
                <w:szCs w:val="21"/>
              </w:rPr>
              <w:t xml:space="preserve"> of serving cell </w:t>
            </w:r>
            <m:oMath>
              <m:r>
                <m:rPr/>
                <w:rPr>
                  <w:rFonts w:ascii="Cambria Math" w:hAnsi="Cambria Math" w:eastAsia="Times New Roman"/>
                  <w:szCs w:val="21"/>
                </w:rPr>
                <m:t>c</m:t>
              </m:r>
            </m:oMath>
            <w:r>
              <w:rPr>
                <w:rFonts w:eastAsia="Times New Roman"/>
                <w:szCs w:val="21"/>
              </w:rPr>
              <w:t>”.</w:t>
            </w:r>
          </w:p>
          <w:p>
            <w:pPr>
              <w:numPr>
                <w:ilvl w:val="0"/>
                <w:numId w:val="8"/>
              </w:numPr>
              <w:adjustRightInd w:val="0"/>
              <w:snapToGrid w:val="0"/>
              <w:spacing w:after="156" w:afterLines="50"/>
              <w:jc w:val="both"/>
              <w:rPr>
                <w:szCs w:val="21"/>
              </w:rPr>
            </w:pPr>
            <w:r>
              <w:rPr>
                <w:b/>
                <w:szCs w:val="21"/>
              </w:rPr>
              <w:t>Option 2</w:t>
            </w:r>
            <w:r>
              <w:rPr>
                <w:b/>
                <w:color w:val="FF0000"/>
                <w:szCs w:val="21"/>
              </w:rPr>
              <w:t>a</w:t>
            </w:r>
            <w:r>
              <w:rPr>
                <w:b/>
                <w:szCs w:val="21"/>
              </w:rPr>
              <w:t>:</w:t>
            </w:r>
            <w:r>
              <w:rPr>
                <w:szCs w:val="21"/>
              </w:rPr>
              <w:t xml:space="preserve"> </w:t>
            </w:r>
            <w:r>
              <w:rPr>
                <w:rFonts w:eastAsia="Times New Roman"/>
                <w:szCs w:val="21"/>
              </w:rPr>
              <w:t xml:space="preserve">Modify the TPC command value set </w:t>
            </w:r>
            <m:oMath>
              <m:sSub>
                <m:sSubPr>
                  <m:ctrlPr>
                    <w:rPr>
                      <w:rFonts w:ascii="Cambria Math" w:hAnsi="Cambria Math" w:eastAsia="Times New Roman"/>
                      <w:szCs w:val="21"/>
                    </w:rPr>
                  </m:ctrlPr>
                </m:sSubPr>
                <m:e>
                  <m:r>
                    <m:rPr/>
                    <w:rPr>
                      <w:rFonts w:ascii="Cambria Math" w:hAnsi="Cambria Math" w:eastAsia="Times New Roman"/>
                      <w:szCs w:val="21"/>
                    </w:rPr>
                    <m:t>D</m:t>
                  </m:r>
                  <m:ctrlPr>
                    <w:rPr>
                      <w:rFonts w:ascii="Cambria Math" w:hAnsi="Cambria Math" w:eastAsia="Times New Roman"/>
                      <w:szCs w:val="21"/>
                    </w:rPr>
                  </m:ctrlPr>
                </m:e>
                <m:sub>
                  <m:r>
                    <m:rPr/>
                    <w:rPr>
                      <w:rFonts w:ascii="Cambria Math" w:hAnsi="Cambria Math" w:eastAsia="Times New Roman"/>
                      <w:szCs w:val="21"/>
                    </w:rPr>
                    <m:t>i</m:t>
                  </m:r>
                  <m:ctrlPr>
                    <w:rPr>
                      <w:rFonts w:ascii="Cambria Math" w:hAnsi="Cambria Math" w:eastAsia="Times New Roman"/>
                      <w:szCs w:val="21"/>
                    </w:rPr>
                  </m:ctrlPr>
                </m:sub>
              </m:sSub>
            </m:oMath>
            <w:r>
              <w:rPr>
                <w:rFonts w:eastAsia="Times New Roman"/>
                <w:szCs w:val="21"/>
              </w:rPr>
              <w:t xml:space="preserve">, e.g. if transmission occasion </w:t>
            </w:r>
            <w:r>
              <w:rPr>
                <w:rFonts w:eastAsia="Times New Roman"/>
                <w:i/>
                <w:szCs w:val="21"/>
              </w:rPr>
              <w:t>i</w:t>
            </w:r>
            <w:r>
              <w:rPr>
                <w:rFonts w:eastAsia="Times New Roman"/>
                <w:szCs w:val="21"/>
              </w:rPr>
              <w:t xml:space="preserve"> is not the first transmission occasion within a nominal time domain window, then any TPC command values received via DCI format 2_2 contained in the set </w:t>
            </w:r>
            <m:oMath>
              <m:sSub>
                <m:sSubPr>
                  <m:ctrlPr>
                    <w:rPr>
                      <w:rFonts w:ascii="Cambria Math" w:hAnsi="Cambria Math" w:eastAsia="Times New Roman"/>
                      <w:szCs w:val="21"/>
                    </w:rPr>
                  </m:ctrlPr>
                </m:sSubPr>
                <m:e>
                  <m:r>
                    <m:rPr/>
                    <w:rPr>
                      <w:rFonts w:ascii="Cambria Math" w:hAnsi="Cambria Math" w:eastAsia="Times New Roman"/>
                      <w:szCs w:val="21"/>
                    </w:rPr>
                    <m:t>D</m:t>
                  </m:r>
                  <m:ctrlPr>
                    <w:rPr>
                      <w:rFonts w:ascii="Cambria Math" w:hAnsi="Cambria Math" w:eastAsia="Times New Roman"/>
                      <w:szCs w:val="21"/>
                    </w:rPr>
                  </m:ctrlPr>
                </m:e>
                <m:sub>
                  <m:r>
                    <m:rPr/>
                    <w:rPr>
                      <w:rFonts w:ascii="Cambria Math" w:hAnsi="Cambria Math" w:eastAsia="Times New Roman"/>
                      <w:szCs w:val="21"/>
                    </w:rPr>
                    <m:t>i</m:t>
                  </m:r>
                  <m:ctrlPr>
                    <w:rPr>
                      <w:rFonts w:ascii="Cambria Math" w:hAnsi="Cambria Math" w:eastAsia="Times New Roman"/>
                      <w:szCs w:val="21"/>
                    </w:rPr>
                  </m:ctrlPr>
                </m:sub>
              </m:sSub>
            </m:oMath>
            <w:r>
              <w:rPr>
                <w:rFonts w:eastAsia="Times New Roman"/>
                <w:szCs w:val="21"/>
              </w:rPr>
              <w:t xml:space="preserve"> are deleted and added to the set </w:t>
            </w:r>
            <m:oMath>
              <m:sSub>
                <m:sSubPr>
                  <m:ctrlPr>
                    <w:rPr>
                      <w:rFonts w:ascii="Cambria Math" w:hAnsi="Cambria Math" w:eastAsia="Times New Roman"/>
                      <w:szCs w:val="21"/>
                    </w:rPr>
                  </m:ctrlPr>
                </m:sSubPr>
                <m:e>
                  <m:r>
                    <m:rPr/>
                    <w:rPr>
                      <w:rFonts w:ascii="Cambria Math" w:hAnsi="Cambria Math" w:eastAsia="Times New Roman"/>
                      <w:szCs w:val="21"/>
                    </w:rPr>
                    <m:t>D</m:t>
                  </m:r>
                  <m:ctrlPr>
                    <w:rPr>
                      <w:rFonts w:ascii="Cambria Math" w:hAnsi="Cambria Math" w:eastAsia="Times New Roman"/>
                      <w:szCs w:val="21"/>
                    </w:rPr>
                  </m:ctrlPr>
                </m:e>
                <m:sub>
                  <m:r>
                    <m:rPr/>
                    <w:rPr>
                      <w:rFonts w:ascii="Cambria Math" w:hAnsi="Cambria Math" w:eastAsia="Times New Roman"/>
                      <w:szCs w:val="21"/>
                    </w:rPr>
                    <m:t>j</m:t>
                  </m:r>
                  <m:ctrlPr>
                    <w:rPr>
                      <w:rFonts w:ascii="Cambria Math" w:hAnsi="Cambria Math" w:eastAsia="Times New Roman"/>
                      <w:szCs w:val="21"/>
                    </w:rPr>
                  </m:ctrlPr>
                </m:sub>
              </m:sSub>
            </m:oMath>
            <w:r>
              <w:rPr>
                <w:rFonts w:eastAsia="Times New Roman"/>
                <w:szCs w:val="21"/>
              </w:rPr>
              <w:t xml:space="preserve"> where </w:t>
            </w:r>
            <w:r>
              <w:rPr>
                <w:rFonts w:eastAsia="Times New Roman"/>
                <w:i/>
                <w:szCs w:val="21"/>
              </w:rPr>
              <w:t>j</w:t>
            </w:r>
            <w:r>
              <w:rPr>
                <w:rFonts w:eastAsia="Times New Roman"/>
                <w:szCs w:val="21"/>
              </w:rPr>
              <w:t xml:space="preserve"> is a transmission occasion occurring after the end of the nominal time domain window</w:t>
            </w:r>
            <w:r>
              <w:rPr>
                <w:szCs w:val="21"/>
              </w:rPr>
              <w:t xml:space="preserve"> </w:t>
            </w:r>
            <w:r>
              <w:rPr>
                <w:rFonts w:eastAsia="Times New Roman"/>
                <w:szCs w:val="21"/>
              </w:rPr>
              <w:t>and</w:t>
            </w:r>
            <w:r>
              <w:rPr>
                <w:szCs w:val="21"/>
              </w:rPr>
              <w:t xml:space="preserve"> </w:t>
            </w:r>
            <m:oMath>
              <m:r>
                <m:rPr/>
                <w:rPr>
                  <w:rFonts w:ascii="Cambria Math" w:hAnsi="Cambria Math"/>
                  <w:color w:val="FF0000"/>
                  <w:szCs w:val="21"/>
                </w:rPr>
                <m:t>j&gt;0</m:t>
              </m:r>
            </m:oMath>
            <w:r>
              <w:rPr>
                <w:color w:val="FF0000"/>
                <w:szCs w:val="21"/>
              </w:rPr>
              <w:t xml:space="preserve"> is the smallest integer for which </w:t>
            </w:r>
            <m:oMath>
              <m:sSub>
                <m:sSubPr>
                  <m:ctrlPr>
                    <w:rPr>
                      <w:rFonts w:ascii="Cambria Math" w:hAnsi="Cambria Math"/>
                      <w:i/>
                      <w:color w:val="FF0000"/>
                      <w:szCs w:val="21"/>
                    </w:rPr>
                  </m:ctrlPr>
                </m:sSubPr>
                <m:e>
                  <m:r>
                    <m:rPr/>
                    <w:rPr>
                      <w:rFonts w:ascii="Cambria Math" w:hAnsi="Cambria Math"/>
                      <w:color w:val="FF0000"/>
                      <w:szCs w:val="21"/>
                    </w:rPr>
                    <m:t>K</m:t>
                  </m:r>
                  <m:ctrlPr>
                    <w:rPr>
                      <w:rFonts w:ascii="Cambria Math" w:hAnsi="Cambria Math"/>
                      <w:i/>
                      <w:color w:val="FF0000"/>
                      <w:szCs w:val="21"/>
                    </w:rPr>
                  </m:ctrlPr>
                </m:e>
                <m:sub>
                  <m:r>
                    <m:rPr/>
                    <w:rPr>
                      <w:rFonts w:ascii="Cambria Math" w:hAnsi="Cambria Math"/>
                      <w:color w:val="FF0000"/>
                      <w:szCs w:val="21"/>
                    </w:rPr>
                    <m:t>PUSCH</m:t>
                  </m:r>
                  <m:ctrlPr>
                    <w:rPr>
                      <w:rFonts w:ascii="Cambria Math" w:hAnsi="Cambria Math"/>
                      <w:i/>
                      <w:color w:val="FF0000"/>
                      <w:szCs w:val="21"/>
                    </w:rPr>
                  </m:ctrlPr>
                </m:sub>
              </m:sSub>
              <m:r>
                <m:rPr/>
                <w:rPr>
                  <w:rFonts w:ascii="Cambria Math" w:hAnsi="Cambria Math"/>
                  <w:color w:val="FF0000"/>
                  <w:szCs w:val="21"/>
                </w:rPr>
                <m:t>(i)</m:t>
              </m:r>
            </m:oMath>
            <w:r>
              <w:rPr>
                <w:color w:val="FF0000"/>
                <w:szCs w:val="21"/>
              </w:rPr>
              <w:t xml:space="preserve"> symbols before PUSCH transmission occasion </w:t>
            </w:r>
            <m:oMath>
              <m:r>
                <m:rPr/>
                <w:rPr>
                  <w:rFonts w:ascii="Cambria Math" w:hAnsi="Cambria Math"/>
                  <w:color w:val="FF0000"/>
                  <w:szCs w:val="21"/>
                </w:rPr>
                <m:t>i</m:t>
              </m:r>
            </m:oMath>
            <w:r>
              <w:rPr>
                <w:color w:val="FF0000"/>
                <w:szCs w:val="21"/>
              </w:rPr>
              <w:t xml:space="preserve"> is earlier than </w:t>
            </w:r>
            <m:oMath>
              <m:sSub>
                <m:sSubPr>
                  <m:ctrlPr>
                    <w:rPr>
                      <w:rFonts w:ascii="Cambria Math" w:hAnsi="Cambria Math"/>
                      <w:i/>
                      <w:color w:val="FF0000"/>
                      <w:szCs w:val="21"/>
                    </w:rPr>
                  </m:ctrlPr>
                </m:sSubPr>
                <m:e>
                  <m:r>
                    <m:rPr/>
                    <w:rPr>
                      <w:rFonts w:ascii="Cambria Math" w:hAnsi="Cambria Math"/>
                      <w:color w:val="FF0000"/>
                      <w:szCs w:val="21"/>
                    </w:rPr>
                    <m:t>K</m:t>
                  </m:r>
                  <m:ctrlPr>
                    <w:rPr>
                      <w:rFonts w:ascii="Cambria Math" w:hAnsi="Cambria Math"/>
                      <w:i/>
                      <w:color w:val="FF0000"/>
                      <w:szCs w:val="21"/>
                    </w:rPr>
                  </m:ctrlPr>
                </m:e>
                <m:sub>
                  <m:r>
                    <m:rPr/>
                    <w:rPr>
                      <w:rFonts w:ascii="Cambria Math" w:hAnsi="Cambria Math"/>
                      <w:color w:val="FF0000"/>
                      <w:szCs w:val="21"/>
                    </w:rPr>
                    <m:t>PUSCH</m:t>
                  </m:r>
                  <m:ctrlPr>
                    <w:rPr>
                      <w:rFonts w:ascii="Cambria Math" w:hAnsi="Cambria Math"/>
                      <w:i/>
                      <w:color w:val="FF0000"/>
                      <w:szCs w:val="21"/>
                    </w:rPr>
                  </m:ctrlPr>
                </m:sub>
              </m:sSub>
              <m:r>
                <m:rPr/>
                <w:rPr>
                  <w:rFonts w:ascii="Cambria Math" w:hAnsi="Cambria Math"/>
                  <w:color w:val="FF0000"/>
                  <w:szCs w:val="21"/>
                </w:rPr>
                <m:t>(j)</m:t>
              </m:r>
            </m:oMath>
            <w:r>
              <w:rPr>
                <w:color w:val="FF0000"/>
                <w:szCs w:val="21"/>
              </w:rPr>
              <w:t xml:space="preserve"> symbols before PUSCH transmission occasion </w:t>
            </w:r>
            <m:oMath>
              <m:r>
                <m:rPr/>
                <w:rPr>
                  <w:rFonts w:ascii="Cambria Math" w:hAnsi="Cambria Math"/>
                  <w:color w:val="FF0000"/>
                  <w:szCs w:val="21"/>
                </w:rPr>
                <m:t>j</m:t>
              </m:r>
            </m:oMath>
            <w:r>
              <w:rPr>
                <w:rFonts w:eastAsia="Times New Roman"/>
                <w:szCs w:val="21"/>
              </w:rPr>
              <w:t>.</w:t>
            </w:r>
          </w:p>
          <w:p>
            <w:pPr>
              <w:numPr>
                <w:ilvl w:val="0"/>
                <w:numId w:val="8"/>
              </w:numPr>
              <w:adjustRightInd w:val="0"/>
              <w:snapToGrid w:val="0"/>
              <w:spacing w:after="0"/>
              <w:ind w:left="422" w:hanging="422"/>
              <w:jc w:val="both"/>
              <w:rPr>
                <w:szCs w:val="21"/>
              </w:rPr>
            </w:pPr>
            <w:r>
              <w:rPr>
                <w:b/>
                <w:szCs w:val="21"/>
              </w:rPr>
              <w:t>Option 3:</w:t>
            </w:r>
            <w:r>
              <w:rPr>
                <w:szCs w:val="21"/>
              </w:rPr>
              <w:t xml:space="preserve"> For group common TPC commands with format 2_2, if UE is configured to </w:t>
            </w:r>
            <w:r>
              <w:rPr>
                <w:bCs/>
                <w:szCs w:val="21"/>
              </w:rPr>
              <w:t>accumulate TPC commands,</w:t>
            </w:r>
          </w:p>
          <w:p>
            <w:pPr>
              <w:numPr>
                <w:ilvl w:val="2"/>
                <w:numId w:val="9"/>
              </w:numPr>
              <w:adjustRightInd w:val="0"/>
              <w:snapToGrid w:val="0"/>
              <w:spacing w:after="0"/>
              <w:ind w:left="200" w:leftChars="100"/>
              <w:jc w:val="both"/>
              <w:rPr>
                <w:szCs w:val="21"/>
              </w:rPr>
            </w:pPr>
            <w:r>
              <w:rPr>
                <w:rFonts w:eastAsia="Times New Roman"/>
                <w:szCs w:val="21"/>
              </w:rPr>
              <w:t xml:space="preserve">For a transmission occasion </w:t>
            </w:r>
            <m:oMath>
              <m:r>
                <m:rPr/>
                <w:rPr>
                  <w:rFonts w:ascii="Cambria Math" w:hAnsi="Cambria Math" w:eastAsia="Times New Roman"/>
                  <w:szCs w:val="21"/>
                </w:rPr>
                <m:t>i</m:t>
              </m:r>
            </m:oMath>
            <w:r>
              <w:rPr>
                <w:rFonts w:eastAsia="Times New Roman"/>
                <w:szCs w:val="21"/>
              </w:rPr>
              <w:t xml:space="preserve"> occurs within a nominal time domain window, </w:t>
            </w:r>
            <m:oMath>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w:rPr>
                      <w:rFonts w:ascii="Cambria Math" w:hAnsi="Cambria Math" w:eastAsia="Times New Roman"/>
                      <w:szCs w:val="21"/>
                    </w:rPr>
                    <m:t>i</m:t>
                  </m:r>
                  <m:ctrlPr>
                    <w:rPr>
                      <w:rFonts w:ascii="Cambria Math" w:hAnsi="Cambria Math" w:eastAsia="Times New Roman"/>
                      <w:szCs w:val="21"/>
                    </w:rPr>
                  </m:ctrlPr>
                </m:sub>
              </m:sSub>
              <m:r>
                <m:rPr>
                  <m:sty m:val="p"/>
                </m:rPr>
                <w:rPr>
                  <w:rFonts w:ascii="Cambria Math" w:hAnsi="Cambria Math" w:eastAsia="Times New Roman"/>
                  <w:szCs w:val="21"/>
                </w:rPr>
                <m:t>=</m:t>
              </m:r>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m:sty m:val="p"/>
                    </m:rPr>
                    <w:rPr>
                      <w:rFonts w:ascii="Cambria Math" w:hAnsi="Cambria Math" w:eastAsia="Times New Roman"/>
                      <w:szCs w:val="21"/>
                    </w:rPr>
                    <m:t xml:space="preserve"> </m:t>
                  </m:r>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ctrlPr>
                    <w:rPr>
                      <w:rFonts w:ascii="Cambria Math" w:hAnsi="Cambria Math" w:eastAsia="Times New Roman"/>
                      <w:szCs w:val="21"/>
                    </w:rPr>
                  </m:ctrlPr>
                </m:sub>
              </m:sSub>
            </m:oMath>
            <w:r>
              <w:rPr>
                <w:rFonts w:eastAsia="Times New Roman"/>
                <w:szCs w:val="21"/>
              </w:rPr>
              <w:t xml:space="preserve">, where transmission occasion </w:t>
            </w:r>
            <m:oMath>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oMath>
            <w:r>
              <w:rPr>
                <w:rFonts w:eastAsia="Times New Roman"/>
                <w:szCs w:val="21"/>
              </w:rPr>
              <w:t xml:space="preserve"> is a first transmission occasion within the nominal time domain window.</w:t>
            </w:r>
          </w:p>
          <w:p>
            <w:pPr>
              <w:numPr>
                <w:ilvl w:val="2"/>
                <w:numId w:val="9"/>
              </w:numPr>
              <w:tabs>
                <w:tab w:val="left" w:pos="926"/>
              </w:tabs>
              <w:adjustRightInd w:val="0"/>
              <w:snapToGrid w:val="0"/>
              <w:spacing w:after="156" w:afterLines="50"/>
              <w:ind w:left="200" w:leftChars="100"/>
              <w:jc w:val="both"/>
              <w:rPr>
                <w:szCs w:val="21"/>
              </w:rPr>
            </w:pPr>
            <w:r>
              <w:rPr>
                <w:rFonts w:eastAsia="Times New Roman"/>
                <w:szCs w:val="21"/>
              </w:rPr>
              <w:t xml:space="preserve">For the first transmission occasion </w:t>
            </w:r>
            <m:oMath>
              <m:r>
                <m:rPr/>
                <w:rPr>
                  <w:rFonts w:ascii="Cambria Math" w:hAnsi="Cambria Math" w:eastAsia="Times New Roman"/>
                  <w:szCs w:val="21"/>
                </w:rPr>
                <m:t>k</m:t>
              </m:r>
            </m:oMath>
            <w:r>
              <w:rPr>
                <w:rFonts w:eastAsia="Times New Roman"/>
                <w:szCs w:val="21"/>
              </w:rPr>
              <w:t xml:space="preserve"> occurring after the nominal time domain window, </w:t>
            </w:r>
            <m:oMath>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w:rPr>
                      <w:rFonts w:ascii="Cambria Math" w:hAnsi="Cambria Math" w:eastAsia="Times New Roman"/>
                      <w:szCs w:val="21"/>
                    </w:rPr>
                    <m:t>k</m:t>
                  </m:r>
                  <m:ctrlPr>
                    <w:rPr>
                      <w:rFonts w:ascii="Cambria Math" w:hAnsi="Cambria Math" w:eastAsia="Times New Roman"/>
                      <w:szCs w:val="21"/>
                    </w:rPr>
                  </m:ctrlPr>
                </m:sub>
              </m:sSub>
              <m:r>
                <m:rPr>
                  <m:sty m:val="p"/>
                </m:rPr>
                <w:rPr>
                  <w:rFonts w:ascii="Cambria Math" w:hAnsi="Cambria Math" w:eastAsia="Times New Roman"/>
                  <w:szCs w:val="21"/>
                </w:rPr>
                <m:t>=</m:t>
              </m:r>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ctrlPr>
                    <w:rPr>
                      <w:rFonts w:ascii="Cambria Math" w:hAnsi="Cambria Math" w:eastAsia="Times New Roman"/>
                      <w:szCs w:val="21"/>
                    </w:rPr>
                  </m:ctrlPr>
                </m:sub>
              </m:sSub>
              <m:r>
                <m:rPr>
                  <m:sty m:val="p"/>
                </m:rPr>
                <w:rPr>
                  <w:rFonts w:ascii="Cambria Math" w:hAnsi="Cambria Math" w:eastAsia="Times New Roman"/>
                  <w:szCs w:val="21"/>
                </w:rPr>
                <m:t>+</m:t>
              </m:r>
              <m:nary>
                <m:naryPr>
                  <m:chr m:val="∑"/>
                  <m:limLoc m:val="undOvr"/>
                  <m:subHide m:val="1"/>
                  <m:supHide m:val="1"/>
                  <m:ctrlPr>
                    <w:rPr>
                      <w:rFonts w:ascii="Cambria Math" w:hAnsi="Cambria Math" w:eastAsia="Times New Roman"/>
                      <w:szCs w:val="21"/>
                    </w:rPr>
                  </m:ctrlPr>
                </m:naryPr>
                <m:sub>
                  <m:ctrlPr>
                    <w:rPr>
                      <w:rFonts w:ascii="Cambria Math" w:hAnsi="Cambria Math" w:eastAsia="Times New Roman"/>
                      <w:szCs w:val="21"/>
                    </w:rPr>
                  </m:ctrlPr>
                </m:sub>
                <m:sup>
                  <m:ctrlPr>
                    <w:rPr>
                      <w:rFonts w:ascii="Cambria Math" w:hAnsi="Cambria Math" w:eastAsia="Times New Roman"/>
                      <w:szCs w:val="21"/>
                    </w:rPr>
                  </m:ctrlPr>
                </m:sup>
                <m:e>
                  <m:sSub>
                    <m:sSubPr>
                      <m:ctrlPr>
                        <w:rPr>
                          <w:rFonts w:ascii="Cambria Math" w:hAnsi="Cambria Math" w:eastAsia="Times New Roman"/>
                          <w:szCs w:val="21"/>
                        </w:rPr>
                      </m:ctrlPr>
                    </m:sSubPr>
                    <m:e>
                      <m:r>
                        <m:rPr/>
                        <w:rPr>
                          <w:rFonts w:ascii="Cambria Math" w:hAnsi="Cambria Math" w:eastAsia="Times New Roman"/>
                          <w:szCs w:val="21"/>
                        </w:rPr>
                        <m:t>δ</m:t>
                      </m:r>
                      <m:ctrlPr>
                        <w:rPr>
                          <w:rFonts w:ascii="Cambria Math" w:hAnsi="Cambria Math" w:eastAsia="Times New Roman"/>
                          <w:szCs w:val="21"/>
                        </w:rPr>
                      </m:ctrlPr>
                    </m:e>
                    <m:sub>
                      <m:r>
                        <m:rPr/>
                        <w:rPr>
                          <w:rFonts w:ascii="Cambria Math" w:hAnsi="Cambria Math" w:eastAsia="Times New Roman"/>
                          <w:szCs w:val="21"/>
                        </w:rPr>
                        <m:t>j</m:t>
                      </m:r>
                      <m:ctrlPr>
                        <w:rPr>
                          <w:rFonts w:ascii="Cambria Math" w:hAnsi="Cambria Math" w:eastAsia="Times New Roman"/>
                          <w:szCs w:val="21"/>
                        </w:rPr>
                      </m:ctrlPr>
                    </m:sub>
                  </m:sSub>
                  <m:ctrlPr>
                    <w:rPr>
                      <w:rFonts w:ascii="Cambria Math" w:hAnsi="Cambria Math" w:eastAsia="Times New Roman"/>
                      <w:szCs w:val="21"/>
                    </w:rPr>
                  </m:ctrlPr>
                </m:e>
              </m:nary>
            </m:oMath>
            <w:r>
              <w:rPr>
                <w:rFonts w:eastAsia="Times New Roman"/>
                <w:szCs w:val="21"/>
              </w:rPr>
              <w:t xml:space="preserve">, where </w:t>
            </w:r>
            <m:oMath>
              <m:sSub>
                <m:sSubPr>
                  <m:ctrlPr>
                    <w:rPr>
                      <w:rFonts w:ascii="Cambria Math" w:hAnsi="Cambria Math" w:eastAsia="Times New Roman"/>
                      <w:szCs w:val="21"/>
                    </w:rPr>
                  </m:ctrlPr>
                </m:sSubPr>
                <m:e>
                  <m:r>
                    <m:rPr/>
                    <w:rPr>
                      <w:rFonts w:ascii="Cambria Math" w:hAnsi="Cambria Math" w:eastAsia="Times New Roman"/>
                      <w:szCs w:val="21"/>
                    </w:rPr>
                    <m:t>δ</m:t>
                  </m:r>
                  <m:ctrlPr>
                    <w:rPr>
                      <w:rFonts w:ascii="Cambria Math" w:hAnsi="Cambria Math" w:eastAsia="Times New Roman"/>
                      <w:szCs w:val="21"/>
                    </w:rPr>
                  </m:ctrlPr>
                </m:e>
                <m:sub>
                  <m:r>
                    <m:rPr/>
                    <w:rPr>
                      <w:rFonts w:ascii="Cambria Math" w:hAnsi="Cambria Math" w:eastAsia="Times New Roman"/>
                      <w:szCs w:val="21"/>
                    </w:rPr>
                    <m:t>j</m:t>
                  </m:r>
                  <m:ctrlPr>
                    <w:rPr>
                      <w:rFonts w:ascii="Cambria Math" w:hAnsi="Cambria Math" w:eastAsia="Times New Roman"/>
                      <w:szCs w:val="21"/>
                    </w:rPr>
                  </m:ctrlPr>
                </m:sub>
              </m:sSub>
            </m:oMath>
            <w:r>
              <w:rPr>
                <w:rFonts w:eastAsia="Times New Roman"/>
                <w:szCs w:val="21"/>
              </w:rPr>
              <w:t xml:space="preserve"> is all the TPC command values that would take effect for the transmission occasions occurring after transmission occasion </w:t>
            </w:r>
            <m:oMath>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oMath>
            <w:r>
              <w:rPr>
                <w:rFonts w:eastAsia="Times New Roman"/>
                <w:szCs w:val="21"/>
              </w:rPr>
              <w:t xml:space="preserve"> and no later than transmission occasion </w:t>
            </w:r>
            <m:oMath>
              <m:r>
                <m:rPr/>
                <w:rPr>
                  <w:rFonts w:ascii="Cambria Math" w:hAnsi="Cambria Math" w:eastAsia="Times New Roman"/>
                  <w:szCs w:val="21"/>
                </w:rPr>
                <m:t>k</m:t>
              </m:r>
            </m:oMath>
            <w:r>
              <w:rPr>
                <w:rFonts w:eastAsia="Times New Roman"/>
                <w:szCs w:val="21"/>
              </w:rPr>
              <w:t xml:space="preserve"> (i.e. including occasion </w:t>
            </w:r>
            <w:r>
              <w:rPr>
                <w:rFonts w:eastAsia="Times New Roman"/>
                <w:i/>
                <w:szCs w:val="21"/>
              </w:rPr>
              <w:t>k</w:t>
            </w:r>
            <w:r>
              <w:rPr>
                <w:rFonts w:eastAsia="Times New Roman"/>
                <w:szCs w:val="21"/>
              </w:rPr>
              <w:t xml:space="preserve"> itself).</w:t>
            </w:r>
          </w:p>
          <w:p>
            <w:pPr>
              <w:numPr>
                <w:ilvl w:val="0"/>
                <w:numId w:val="8"/>
              </w:numPr>
              <w:adjustRightInd w:val="0"/>
              <w:snapToGrid w:val="0"/>
              <w:spacing w:after="0"/>
              <w:ind w:left="422" w:hanging="422"/>
              <w:jc w:val="both"/>
              <w:rPr>
                <w:szCs w:val="21"/>
              </w:rPr>
            </w:pPr>
            <w:r>
              <w:rPr>
                <w:b/>
                <w:szCs w:val="21"/>
              </w:rPr>
              <w:t>Option 3</w:t>
            </w:r>
            <w:r>
              <w:rPr>
                <w:b/>
                <w:color w:val="FF0000"/>
                <w:szCs w:val="21"/>
              </w:rPr>
              <w:t>a</w:t>
            </w:r>
            <w:r>
              <w:rPr>
                <w:b/>
                <w:szCs w:val="21"/>
              </w:rPr>
              <w:t>:</w:t>
            </w:r>
            <w:r>
              <w:rPr>
                <w:szCs w:val="21"/>
              </w:rPr>
              <w:t xml:space="preserve"> For group common TPC commands with format 2_2, if UE is configured to </w:t>
            </w:r>
            <w:r>
              <w:rPr>
                <w:bCs/>
                <w:szCs w:val="21"/>
              </w:rPr>
              <w:t>accumulate TPC commands,</w:t>
            </w:r>
          </w:p>
          <w:p>
            <w:pPr>
              <w:numPr>
                <w:ilvl w:val="2"/>
                <w:numId w:val="9"/>
              </w:numPr>
              <w:adjustRightInd w:val="0"/>
              <w:snapToGrid w:val="0"/>
              <w:spacing w:after="0"/>
              <w:ind w:left="200" w:leftChars="100"/>
              <w:jc w:val="both"/>
              <w:rPr>
                <w:szCs w:val="21"/>
              </w:rPr>
            </w:pPr>
            <w:r>
              <w:rPr>
                <w:rFonts w:eastAsia="Times New Roman"/>
                <w:szCs w:val="21"/>
              </w:rPr>
              <w:t xml:space="preserve">For a transmission occasion </w:t>
            </w:r>
            <m:oMath>
              <m:r>
                <m:rPr/>
                <w:rPr>
                  <w:rFonts w:ascii="Cambria Math" w:hAnsi="Cambria Math" w:eastAsia="Times New Roman"/>
                  <w:szCs w:val="21"/>
                </w:rPr>
                <m:t>i</m:t>
              </m:r>
            </m:oMath>
            <w:r>
              <w:rPr>
                <w:rFonts w:eastAsia="Times New Roman"/>
                <w:szCs w:val="21"/>
              </w:rPr>
              <w:t xml:space="preserve"> occurs within a nominal time domain window, </w:t>
            </w:r>
            <m:oMath>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w:rPr>
                      <w:rFonts w:ascii="Cambria Math" w:hAnsi="Cambria Math" w:eastAsia="Times New Roman"/>
                      <w:szCs w:val="21"/>
                    </w:rPr>
                    <m:t>i</m:t>
                  </m:r>
                  <m:ctrlPr>
                    <w:rPr>
                      <w:rFonts w:ascii="Cambria Math" w:hAnsi="Cambria Math" w:eastAsia="Times New Roman"/>
                      <w:szCs w:val="21"/>
                    </w:rPr>
                  </m:ctrlPr>
                </m:sub>
              </m:sSub>
              <m:r>
                <m:rPr>
                  <m:sty m:val="p"/>
                </m:rPr>
                <w:rPr>
                  <w:rFonts w:ascii="Cambria Math" w:hAnsi="Cambria Math" w:eastAsia="Times New Roman"/>
                  <w:szCs w:val="21"/>
                </w:rPr>
                <m:t>=</m:t>
              </m:r>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m:sty m:val="p"/>
                    </m:rPr>
                    <w:rPr>
                      <w:rFonts w:ascii="Cambria Math" w:hAnsi="Cambria Math" w:eastAsia="Times New Roman"/>
                      <w:szCs w:val="21"/>
                    </w:rPr>
                    <m:t xml:space="preserve"> </m:t>
                  </m:r>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ctrlPr>
                    <w:rPr>
                      <w:rFonts w:ascii="Cambria Math" w:hAnsi="Cambria Math" w:eastAsia="Times New Roman"/>
                      <w:szCs w:val="21"/>
                    </w:rPr>
                  </m:ctrlPr>
                </m:sub>
              </m:sSub>
            </m:oMath>
            <w:r>
              <w:rPr>
                <w:rFonts w:eastAsia="Times New Roman"/>
                <w:szCs w:val="21"/>
              </w:rPr>
              <w:t xml:space="preserve">, where transmission occasion </w:t>
            </w:r>
            <m:oMath>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oMath>
            <w:r>
              <w:rPr>
                <w:rFonts w:eastAsia="Times New Roman"/>
                <w:szCs w:val="21"/>
              </w:rPr>
              <w:t xml:space="preserve"> is a first transmission occasion within the nominal time domain window.</w:t>
            </w:r>
          </w:p>
          <w:p>
            <w:pPr>
              <w:numPr>
                <w:ilvl w:val="2"/>
                <w:numId w:val="9"/>
              </w:numPr>
              <w:adjustRightInd w:val="0"/>
              <w:snapToGrid w:val="0"/>
              <w:spacing w:after="0"/>
              <w:ind w:left="200" w:leftChars="100"/>
              <w:jc w:val="both"/>
              <w:rPr>
                <w:szCs w:val="21"/>
              </w:rPr>
            </w:pPr>
            <w:r>
              <w:rPr>
                <w:rFonts w:eastAsia="Times New Roman"/>
                <w:szCs w:val="21"/>
              </w:rPr>
              <w:t xml:space="preserve">For the first transmission occasion </w:t>
            </w:r>
            <m:oMath>
              <m:r>
                <m:rPr/>
                <w:rPr>
                  <w:rFonts w:ascii="Cambria Math" w:hAnsi="Cambria Math" w:eastAsia="Times New Roman"/>
                  <w:szCs w:val="21"/>
                </w:rPr>
                <m:t>k</m:t>
              </m:r>
            </m:oMath>
            <w:r>
              <w:rPr>
                <w:rFonts w:eastAsia="Times New Roman"/>
                <w:szCs w:val="21"/>
              </w:rPr>
              <w:t xml:space="preserve"> occurring after the nominal time domain window, </w:t>
            </w:r>
            <m:oMath>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r>
                    <m:rPr/>
                    <w:rPr>
                      <w:rFonts w:ascii="Cambria Math" w:hAnsi="Cambria Math" w:eastAsia="Times New Roman"/>
                      <w:szCs w:val="21"/>
                    </w:rPr>
                    <m:t>k</m:t>
                  </m:r>
                  <m:ctrlPr>
                    <w:rPr>
                      <w:rFonts w:ascii="Cambria Math" w:hAnsi="Cambria Math" w:eastAsia="Times New Roman"/>
                      <w:szCs w:val="21"/>
                    </w:rPr>
                  </m:ctrlPr>
                </m:sub>
              </m:sSub>
              <m:r>
                <m:rPr>
                  <m:sty m:val="p"/>
                </m:rPr>
                <w:rPr>
                  <w:rFonts w:ascii="Cambria Math" w:hAnsi="Cambria Math" w:eastAsia="Times New Roman"/>
                  <w:szCs w:val="21"/>
                </w:rPr>
                <m:t>=</m:t>
              </m:r>
              <m:sSub>
                <m:sSubPr>
                  <m:ctrlPr>
                    <w:rPr>
                      <w:rFonts w:ascii="Cambria Math" w:hAnsi="Cambria Math" w:eastAsia="Times New Roman"/>
                      <w:szCs w:val="21"/>
                    </w:rPr>
                  </m:ctrlPr>
                </m:sSubPr>
                <m:e>
                  <m:r>
                    <m:rPr/>
                    <w:rPr>
                      <w:rFonts w:ascii="Cambria Math" w:hAnsi="Cambria Math" w:eastAsia="Times New Roman"/>
                      <w:szCs w:val="21"/>
                    </w:rPr>
                    <m:t>f</m:t>
                  </m:r>
                  <m:ctrlPr>
                    <w:rPr>
                      <w:rFonts w:ascii="Cambria Math" w:hAnsi="Cambria Math" w:eastAsia="Times New Roman"/>
                      <w:szCs w:val="21"/>
                    </w:rPr>
                  </m:ctrlPr>
                </m:e>
                <m:sub>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ctrlPr>
                    <w:rPr>
                      <w:rFonts w:ascii="Cambria Math" w:hAnsi="Cambria Math" w:eastAsia="Times New Roman"/>
                      <w:szCs w:val="21"/>
                    </w:rPr>
                  </m:ctrlPr>
                </m:sub>
              </m:sSub>
              <m:r>
                <m:rPr>
                  <m:sty m:val="p"/>
                </m:rPr>
                <w:rPr>
                  <w:rFonts w:ascii="Cambria Math" w:hAnsi="Cambria Math" w:eastAsia="Times New Roman"/>
                  <w:szCs w:val="21"/>
                </w:rPr>
                <m:t>+</m:t>
              </m:r>
              <m:nary>
                <m:naryPr>
                  <m:chr m:val="∑"/>
                  <m:limLoc m:val="undOvr"/>
                  <m:subHide m:val="1"/>
                  <m:supHide m:val="1"/>
                  <m:ctrlPr>
                    <w:rPr>
                      <w:rFonts w:ascii="Cambria Math" w:hAnsi="Cambria Math" w:eastAsia="Times New Roman"/>
                      <w:szCs w:val="21"/>
                    </w:rPr>
                  </m:ctrlPr>
                </m:naryPr>
                <m:sub>
                  <m:ctrlPr>
                    <w:rPr>
                      <w:rFonts w:ascii="Cambria Math" w:hAnsi="Cambria Math" w:eastAsia="Times New Roman"/>
                      <w:szCs w:val="21"/>
                    </w:rPr>
                  </m:ctrlPr>
                </m:sub>
                <m:sup>
                  <m:ctrlPr>
                    <w:rPr>
                      <w:rFonts w:ascii="Cambria Math" w:hAnsi="Cambria Math" w:eastAsia="Times New Roman"/>
                      <w:szCs w:val="21"/>
                    </w:rPr>
                  </m:ctrlPr>
                </m:sup>
                <m:e>
                  <m:sSub>
                    <m:sSubPr>
                      <m:ctrlPr>
                        <w:rPr>
                          <w:rFonts w:ascii="Cambria Math" w:hAnsi="Cambria Math" w:eastAsia="Times New Roman"/>
                          <w:szCs w:val="21"/>
                        </w:rPr>
                      </m:ctrlPr>
                    </m:sSubPr>
                    <m:e>
                      <m:r>
                        <m:rPr/>
                        <w:rPr>
                          <w:rFonts w:ascii="Cambria Math" w:hAnsi="Cambria Math" w:eastAsia="Times New Roman"/>
                          <w:szCs w:val="21"/>
                        </w:rPr>
                        <m:t>δ</m:t>
                      </m:r>
                      <m:ctrlPr>
                        <w:rPr>
                          <w:rFonts w:ascii="Cambria Math" w:hAnsi="Cambria Math" w:eastAsia="Times New Roman"/>
                          <w:szCs w:val="21"/>
                        </w:rPr>
                      </m:ctrlPr>
                    </m:e>
                    <m:sub>
                      <m:r>
                        <m:rPr/>
                        <w:rPr>
                          <w:rFonts w:ascii="Cambria Math" w:hAnsi="Cambria Math" w:eastAsia="Times New Roman"/>
                          <w:szCs w:val="21"/>
                        </w:rPr>
                        <m:t>j</m:t>
                      </m:r>
                      <m:ctrlPr>
                        <w:rPr>
                          <w:rFonts w:ascii="Cambria Math" w:hAnsi="Cambria Math" w:eastAsia="Times New Roman"/>
                          <w:szCs w:val="21"/>
                        </w:rPr>
                      </m:ctrlPr>
                    </m:sub>
                  </m:sSub>
                  <m:ctrlPr>
                    <w:rPr>
                      <w:rFonts w:ascii="Cambria Math" w:hAnsi="Cambria Math" w:eastAsia="Times New Roman"/>
                      <w:szCs w:val="21"/>
                    </w:rPr>
                  </m:ctrlPr>
                </m:e>
              </m:nary>
            </m:oMath>
            <w:r>
              <w:rPr>
                <w:rFonts w:eastAsia="Times New Roman"/>
                <w:szCs w:val="21"/>
              </w:rPr>
              <w:t xml:space="preserve">, where </w:t>
            </w:r>
            <m:oMath>
              <m:sSub>
                <m:sSubPr>
                  <m:ctrlPr>
                    <w:rPr>
                      <w:rFonts w:ascii="Cambria Math" w:hAnsi="Cambria Math" w:eastAsia="Times New Roman"/>
                      <w:szCs w:val="21"/>
                    </w:rPr>
                  </m:ctrlPr>
                </m:sSubPr>
                <m:e>
                  <m:r>
                    <m:rPr/>
                    <w:rPr>
                      <w:rFonts w:ascii="Cambria Math" w:hAnsi="Cambria Math" w:eastAsia="Times New Roman"/>
                      <w:szCs w:val="21"/>
                    </w:rPr>
                    <m:t>δ</m:t>
                  </m:r>
                  <m:ctrlPr>
                    <w:rPr>
                      <w:rFonts w:ascii="Cambria Math" w:hAnsi="Cambria Math" w:eastAsia="Times New Roman"/>
                      <w:szCs w:val="21"/>
                    </w:rPr>
                  </m:ctrlPr>
                </m:e>
                <m:sub>
                  <m:r>
                    <m:rPr/>
                    <w:rPr>
                      <w:rFonts w:ascii="Cambria Math" w:hAnsi="Cambria Math" w:eastAsia="Times New Roman"/>
                      <w:szCs w:val="21"/>
                    </w:rPr>
                    <m:t>j</m:t>
                  </m:r>
                  <m:ctrlPr>
                    <w:rPr>
                      <w:rFonts w:ascii="Cambria Math" w:hAnsi="Cambria Math" w:eastAsia="Times New Roman"/>
                      <w:szCs w:val="21"/>
                    </w:rPr>
                  </m:ctrlPr>
                </m:sub>
              </m:sSub>
            </m:oMath>
            <w:r>
              <w:rPr>
                <w:rFonts w:eastAsia="Times New Roman"/>
                <w:szCs w:val="21"/>
              </w:rPr>
              <w:t xml:space="preserve"> is all the TPC command values that</w:t>
            </w:r>
            <w:r>
              <w:rPr>
                <w:color w:val="000000"/>
                <w:szCs w:val="21"/>
                <w:shd w:val="clear" w:color="auto" w:fill="FFFFFF"/>
              </w:rPr>
              <w:t xml:space="preserve">  </w:t>
            </w:r>
            <w:r>
              <w:rPr>
                <w:strike/>
                <w:color w:val="FF0000"/>
                <w:szCs w:val="21"/>
                <w:shd w:val="clear" w:color="auto" w:fill="FFFFFF"/>
              </w:rPr>
              <w:t>would take effect for the transmission occasions occurring after</w:t>
            </w:r>
            <w:r>
              <w:rPr>
                <w:color w:val="000000"/>
                <w:szCs w:val="21"/>
                <w:shd w:val="clear" w:color="auto" w:fill="FFFFFF"/>
              </w:rPr>
              <w:t> </w:t>
            </w:r>
            <w:r>
              <w:rPr>
                <w:color w:val="FF0000"/>
                <w:szCs w:val="21"/>
                <w:shd w:val="clear" w:color="auto" w:fill="FFFFFF"/>
              </w:rPr>
              <w:t>are received between </w:t>
            </w:r>
            <w:r>
              <w:rPr>
                <w:rFonts w:eastAsia="Times New Roman"/>
                <w:color w:val="FF0000"/>
                <w:szCs w:val="21"/>
              </w:rPr>
              <w:t xml:space="preserve"> </w:t>
            </w:r>
            <m:oMath>
              <m:sSub>
                <m:sSubPr>
                  <m:ctrlPr>
                    <w:rPr>
                      <w:rFonts w:ascii="Cambria Math" w:hAnsi="Cambria Math" w:eastAsia="Times New Roman"/>
                      <w:color w:val="FF0000"/>
                      <w:szCs w:val="21"/>
                    </w:rPr>
                  </m:ctrlPr>
                </m:sSubPr>
                <m:e>
                  <m:r>
                    <m:rPr/>
                    <w:rPr>
                      <w:rFonts w:ascii="Cambria Math" w:hAnsi="Cambria Math" w:eastAsia="Times New Roman"/>
                      <w:color w:val="FF0000"/>
                      <w:szCs w:val="21"/>
                    </w:rPr>
                    <m:t>K</m:t>
                  </m:r>
                  <m:ctrlPr>
                    <w:rPr>
                      <w:rFonts w:ascii="Cambria Math" w:hAnsi="Cambria Math" w:eastAsia="Times New Roman"/>
                      <w:color w:val="FF0000"/>
                      <w:szCs w:val="21"/>
                    </w:rPr>
                  </m:ctrlPr>
                </m:e>
                <m:sub>
                  <m:r>
                    <m:rPr>
                      <m:sty m:val="p"/>
                    </m:rPr>
                    <w:rPr>
                      <w:rFonts w:ascii="Cambria Math" w:hAnsi="Cambria Math" w:eastAsia="Times New Roman"/>
                      <w:color w:val="FF0000"/>
                      <w:szCs w:val="21"/>
                    </w:rPr>
                    <m:t>PUSCH</m:t>
                  </m:r>
                  <m:ctrlPr>
                    <w:rPr>
                      <w:rFonts w:ascii="Cambria Math" w:hAnsi="Cambria Math" w:eastAsia="Times New Roman"/>
                      <w:color w:val="FF0000"/>
                      <w:szCs w:val="21"/>
                    </w:rPr>
                  </m:ctrlPr>
                </m:sub>
              </m:sSub>
              <m:d>
                <m:dPr>
                  <m:ctrlPr>
                    <w:rPr>
                      <w:rFonts w:ascii="Cambria Math" w:hAnsi="Cambria Math" w:eastAsia="Times New Roman"/>
                      <w:color w:val="FF0000"/>
                      <w:szCs w:val="21"/>
                    </w:rPr>
                  </m:ctrlPr>
                </m:dPr>
                <m:e>
                  <m:sSub>
                    <m:sSubPr>
                      <m:ctrlPr>
                        <w:rPr>
                          <w:rFonts w:ascii="Cambria Math" w:hAnsi="Cambria Math" w:eastAsia="Times New Roman"/>
                          <w:i/>
                          <w:color w:val="FF0000"/>
                          <w:szCs w:val="21"/>
                        </w:rPr>
                      </m:ctrlPr>
                    </m:sSubPr>
                    <m:e>
                      <m:r>
                        <m:rPr/>
                        <w:rPr>
                          <w:rFonts w:ascii="Cambria Math" w:hAnsi="Cambria Math" w:eastAsia="Times New Roman"/>
                          <w:color w:val="FF0000"/>
                          <w:szCs w:val="21"/>
                        </w:rPr>
                        <m:t>i</m:t>
                      </m:r>
                      <m:ctrlPr>
                        <w:rPr>
                          <w:rFonts w:ascii="Cambria Math" w:hAnsi="Cambria Math" w:eastAsia="Times New Roman"/>
                          <w:i/>
                          <w:color w:val="FF0000"/>
                          <w:szCs w:val="21"/>
                        </w:rPr>
                      </m:ctrlPr>
                    </m:e>
                    <m:sub>
                      <m:r>
                        <m:rPr/>
                        <w:rPr>
                          <w:rFonts w:ascii="Cambria Math" w:hAnsi="Cambria Math" w:eastAsia="Times New Roman"/>
                          <w:color w:val="FF0000"/>
                          <w:szCs w:val="21"/>
                        </w:rPr>
                        <m:t>1</m:t>
                      </m:r>
                      <m:ctrlPr>
                        <w:rPr>
                          <w:rFonts w:ascii="Cambria Math" w:hAnsi="Cambria Math" w:eastAsia="Times New Roman"/>
                          <w:i/>
                          <w:color w:val="FF0000"/>
                          <w:szCs w:val="21"/>
                        </w:rPr>
                      </m:ctrlPr>
                    </m:sub>
                  </m:sSub>
                  <m:ctrlPr>
                    <w:rPr>
                      <w:rFonts w:ascii="Cambria Math" w:hAnsi="Cambria Math" w:eastAsia="Times New Roman"/>
                      <w:color w:val="FF0000"/>
                      <w:szCs w:val="21"/>
                    </w:rPr>
                  </m:ctrlPr>
                </m:e>
              </m:d>
            </m:oMath>
            <w:r>
              <w:rPr>
                <w:color w:val="FF0000"/>
                <w:szCs w:val="21"/>
              </w:rPr>
              <w:t xml:space="preserve"> symbols </w:t>
            </w:r>
            <w:r>
              <w:rPr>
                <w:color w:val="FF0000"/>
                <w:szCs w:val="21"/>
                <w:shd w:val="clear" w:color="auto" w:fill="FFFFFF"/>
              </w:rPr>
              <w:t>before</w:t>
            </w:r>
            <w:r>
              <w:rPr>
                <w:color w:val="000000"/>
                <w:szCs w:val="21"/>
                <w:shd w:val="clear" w:color="auto" w:fill="FFFFFF"/>
              </w:rPr>
              <w:t xml:space="preserve"> </w:t>
            </w:r>
            <w:r>
              <w:rPr>
                <w:rFonts w:eastAsia="Times New Roman"/>
                <w:szCs w:val="21"/>
              </w:rPr>
              <w:t xml:space="preserve">transmission occasion </w:t>
            </w:r>
            <m:oMath>
              <m:sSub>
                <m:sSubPr>
                  <m:ctrlPr>
                    <w:rPr>
                      <w:rFonts w:ascii="Cambria Math" w:hAnsi="Cambria Math" w:eastAsia="Times New Roman"/>
                      <w:szCs w:val="21"/>
                    </w:rPr>
                  </m:ctrlPr>
                </m:sSubPr>
                <m:e>
                  <m:r>
                    <m:rPr/>
                    <w:rPr>
                      <w:rFonts w:ascii="Cambria Math" w:hAnsi="Cambria Math" w:eastAsia="Times New Roman"/>
                      <w:szCs w:val="21"/>
                    </w:rPr>
                    <m:t>i</m:t>
                  </m:r>
                  <m:ctrlPr>
                    <w:rPr>
                      <w:rFonts w:ascii="Cambria Math" w:hAnsi="Cambria Math" w:eastAsia="Times New Roman"/>
                      <w:szCs w:val="21"/>
                    </w:rPr>
                  </m:ctrlPr>
                </m:e>
                <m:sub>
                  <m:r>
                    <m:rPr>
                      <m:sty m:val="p"/>
                    </m:rPr>
                    <w:rPr>
                      <w:rFonts w:ascii="Cambria Math" w:hAnsi="Cambria Math" w:eastAsia="Times New Roman"/>
                      <w:szCs w:val="21"/>
                    </w:rPr>
                    <m:t>1</m:t>
                  </m:r>
                  <m:ctrlPr>
                    <w:rPr>
                      <w:rFonts w:ascii="Cambria Math" w:hAnsi="Cambria Math" w:eastAsia="Times New Roman"/>
                      <w:szCs w:val="21"/>
                    </w:rPr>
                  </m:ctrlPr>
                </m:sub>
              </m:sSub>
            </m:oMath>
            <w:r>
              <w:rPr>
                <w:rFonts w:eastAsia="Times New Roman"/>
                <w:szCs w:val="21"/>
              </w:rPr>
              <w:t xml:space="preserve"> and</w:t>
            </w:r>
            <w:r>
              <w:rPr>
                <w:color w:val="000000"/>
                <w:szCs w:val="21"/>
                <w:shd w:val="clear" w:color="auto" w:fill="FFFFFF"/>
              </w:rPr>
              <w:t xml:space="preserve">  </w:t>
            </w:r>
            <w:r>
              <w:rPr>
                <w:strike/>
                <w:color w:val="FF0000"/>
                <w:szCs w:val="21"/>
                <w:shd w:val="clear" w:color="auto" w:fill="FFFFFF"/>
              </w:rPr>
              <w:t>no later than</w:t>
            </w:r>
            <w:r>
              <w:rPr>
                <w:color w:val="000000"/>
                <w:szCs w:val="21"/>
                <w:shd w:val="clear" w:color="auto" w:fill="FFFFFF"/>
              </w:rPr>
              <w:t> </w:t>
            </w:r>
            <m:oMath>
              <m:sSub>
                <m:sSubPr>
                  <m:ctrlPr>
                    <w:rPr>
                      <w:rFonts w:ascii="Cambria Math" w:hAnsi="Cambria Math" w:eastAsia="Times New Roman"/>
                      <w:color w:val="FF0000"/>
                      <w:szCs w:val="21"/>
                    </w:rPr>
                  </m:ctrlPr>
                </m:sSubPr>
                <m:e>
                  <m:r>
                    <m:rPr/>
                    <w:rPr>
                      <w:rFonts w:ascii="Cambria Math" w:hAnsi="Cambria Math" w:eastAsia="Times New Roman"/>
                      <w:color w:val="FF0000"/>
                      <w:szCs w:val="21"/>
                    </w:rPr>
                    <m:t>K</m:t>
                  </m:r>
                  <m:ctrlPr>
                    <w:rPr>
                      <w:rFonts w:ascii="Cambria Math" w:hAnsi="Cambria Math" w:eastAsia="Times New Roman"/>
                      <w:color w:val="FF0000"/>
                      <w:szCs w:val="21"/>
                    </w:rPr>
                  </m:ctrlPr>
                </m:e>
                <m:sub>
                  <m:r>
                    <m:rPr>
                      <m:sty m:val="p"/>
                    </m:rPr>
                    <w:rPr>
                      <w:rFonts w:ascii="Cambria Math" w:hAnsi="Cambria Math" w:eastAsia="Times New Roman"/>
                      <w:color w:val="FF0000"/>
                      <w:szCs w:val="21"/>
                    </w:rPr>
                    <m:t>PUSCH</m:t>
                  </m:r>
                  <m:ctrlPr>
                    <w:rPr>
                      <w:rFonts w:ascii="Cambria Math" w:hAnsi="Cambria Math" w:eastAsia="Times New Roman"/>
                      <w:color w:val="FF0000"/>
                      <w:szCs w:val="21"/>
                    </w:rPr>
                  </m:ctrlPr>
                </m:sub>
              </m:sSub>
              <m:d>
                <m:dPr>
                  <m:ctrlPr>
                    <w:rPr>
                      <w:rFonts w:ascii="Cambria Math" w:hAnsi="Cambria Math" w:eastAsia="Times New Roman"/>
                      <w:i/>
                      <w:color w:val="FF0000"/>
                      <w:szCs w:val="21"/>
                    </w:rPr>
                  </m:ctrlPr>
                </m:dPr>
                <m:e>
                  <m:r>
                    <m:rPr/>
                    <w:rPr>
                      <w:rFonts w:ascii="Cambria Math" w:hAnsi="Cambria Math" w:eastAsia="Times New Roman"/>
                      <w:color w:val="FF0000"/>
                      <w:szCs w:val="21"/>
                    </w:rPr>
                    <m:t>k</m:t>
                  </m:r>
                  <m:ctrlPr>
                    <w:rPr>
                      <w:rFonts w:ascii="Cambria Math" w:hAnsi="Cambria Math" w:eastAsia="Times New Roman"/>
                      <w:i/>
                      <w:color w:val="FF0000"/>
                      <w:szCs w:val="21"/>
                    </w:rPr>
                  </m:ctrlPr>
                </m:e>
              </m:d>
            </m:oMath>
            <w:r>
              <w:rPr>
                <w:color w:val="FF0000"/>
                <w:szCs w:val="21"/>
                <w:shd w:val="clear" w:color="auto" w:fill="FFFFFF"/>
              </w:rPr>
              <w:t> symbols before</w:t>
            </w:r>
            <w:r>
              <w:rPr>
                <w:color w:val="000000"/>
                <w:szCs w:val="21"/>
                <w:shd w:val="clear" w:color="auto" w:fill="FFFFFF"/>
              </w:rPr>
              <w:t> </w:t>
            </w:r>
            <w:r>
              <w:rPr>
                <w:rFonts w:eastAsia="Times New Roman"/>
                <w:szCs w:val="21"/>
              </w:rPr>
              <w:t xml:space="preserve"> transmission occasion </w:t>
            </w:r>
            <m:oMath>
              <m:r>
                <m:rPr/>
                <w:rPr>
                  <w:rFonts w:ascii="Cambria Math" w:hAnsi="Cambria Math" w:eastAsia="Times New Roman"/>
                  <w:szCs w:val="21"/>
                </w:rPr>
                <m:t>k</m:t>
              </m:r>
            </m:oMath>
            <w:r>
              <w:rPr>
                <w:rFonts w:eastAsia="Times New Roman"/>
                <w:szCs w:val="21"/>
              </w:rPr>
              <w:t xml:space="preserve"> </w:t>
            </w:r>
            <w:r>
              <w:rPr>
                <w:rFonts w:eastAsia="Times New Roman"/>
                <w:strike/>
                <w:color w:val="FF0000"/>
                <w:szCs w:val="21"/>
              </w:rPr>
              <w:t xml:space="preserve">(i.e. including occasion </w:t>
            </w:r>
            <w:r>
              <w:rPr>
                <w:rFonts w:eastAsia="Times New Roman"/>
                <w:i/>
                <w:strike/>
                <w:color w:val="FF0000"/>
                <w:szCs w:val="21"/>
              </w:rPr>
              <w:t>k</w:t>
            </w:r>
            <w:r>
              <w:rPr>
                <w:rFonts w:eastAsia="Times New Roman"/>
                <w:strike/>
                <w:color w:val="FF0000"/>
                <w:szCs w:val="21"/>
              </w:rPr>
              <w:t xml:space="preserve"> itself)</w:t>
            </w:r>
            <w:r>
              <w:rPr>
                <w:rFonts w:eastAsia="Times New Roman"/>
                <w:szCs w:val="21"/>
              </w:rPr>
              <w:t>.</w:t>
            </w:r>
          </w:p>
          <w:p>
            <w:pPr>
              <w:widowControl w:val="0"/>
              <w:numPr>
                <w:ilvl w:val="2"/>
                <w:numId w:val="9"/>
              </w:numPr>
              <w:adjustRightInd w:val="0"/>
              <w:snapToGrid w:val="0"/>
              <w:spacing w:after="0"/>
              <w:ind w:left="200" w:leftChars="100"/>
              <w:jc w:val="both"/>
              <w:rPr>
                <w:szCs w:val="21"/>
              </w:rPr>
            </w:pPr>
            <w:r>
              <w:rPr>
                <w:rFonts w:eastAsia="Times New Roman"/>
                <w:color w:val="FF0000"/>
                <w:szCs w:val="21"/>
              </w:rPr>
              <w:t>Note: If a UE is configured with DMRS bundling, for a given PUSCH power control adjustment state </w:t>
            </w:r>
            <w:r>
              <w:rPr>
                <w:i/>
                <w:color w:val="FF0000"/>
                <w:szCs w:val="21"/>
              </w:rPr>
              <w:t>l</w:t>
            </w:r>
            <w:r>
              <w:rPr>
                <w:rFonts w:eastAsia="Times New Roman"/>
                <w:color w:val="FF0000"/>
                <w:szCs w:val="21"/>
              </w:rPr>
              <w:t> in a given scheduled cell, if the UE is scheduled to start a first PUSCH transmission occasion </w:t>
            </w:r>
            <w:r>
              <w:rPr>
                <w:i/>
                <w:color w:val="FF0000"/>
                <w:szCs w:val="21"/>
              </w:rPr>
              <w:t>m</w:t>
            </w:r>
            <w:r>
              <w:rPr>
                <w:rFonts w:eastAsia="Times New Roman"/>
                <w:color w:val="FF0000"/>
                <w:szCs w:val="21"/>
              </w:rPr>
              <w:t> in symbol </w:t>
            </w:r>
            <w:r>
              <w:rPr>
                <w:i/>
                <w:color w:val="FF0000"/>
                <w:szCs w:val="21"/>
              </w:rPr>
              <w:t>p</w:t>
            </w:r>
            <w:r>
              <w:rPr>
                <w:color w:val="FF0000"/>
                <w:szCs w:val="21"/>
              </w:rPr>
              <w:t xml:space="preserve"> </w:t>
            </w:r>
            <w:r>
              <w:rPr>
                <w:rFonts w:eastAsia="Times New Roman"/>
                <w:color w:val="FF0000"/>
                <w:szCs w:val="21"/>
              </w:rPr>
              <w:t>and is configured with any CG PUSCH transmission occasion </w:t>
            </w:r>
            <w:r>
              <w:rPr>
                <w:i/>
                <w:color w:val="FF0000"/>
                <w:szCs w:val="21"/>
              </w:rPr>
              <w:t>n</w:t>
            </w:r>
            <w:r>
              <w:rPr>
                <w:rFonts w:eastAsia="Times New Roman"/>
                <w:color w:val="FF0000"/>
                <w:szCs w:val="21"/>
              </w:rPr>
              <w:t> ending before symbol </w:t>
            </w:r>
            <w:r>
              <w:rPr>
                <w:i/>
                <w:color w:val="FF0000"/>
                <w:szCs w:val="21"/>
              </w:rPr>
              <w:t>p</w:t>
            </w:r>
            <w:r>
              <w:rPr>
                <w:rFonts w:eastAsia="Times New Roman"/>
                <w:color w:val="FF0000"/>
                <w:szCs w:val="21"/>
              </w:rPr>
              <w:t>, the UE is not expected to receive a TPC command by DCI format 2_2 arrived later than</w:t>
            </w:r>
            <w:r>
              <w:rPr>
                <w:color w:val="FF0000"/>
                <w:szCs w:val="21"/>
              </w:rPr>
              <w:t xml:space="preserve"> </w:t>
            </w:r>
            <m:oMath>
              <m:sSub>
                <m:sSubPr>
                  <m:ctrlPr>
                    <w:rPr>
                      <w:rFonts w:ascii="Cambria Math" w:hAnsi="Cambria Math" w:eastAsia="Times New Roman"/>
                      <w:color w:val="FF0000"/>
                      <w:szCs w:val="21"/>
                    </w:rPr>
                  </m:ctrlPr>
                </m:sSubPr>
                <m:e>
                  <m:r>
                    <m:rPr/>
                    <w:rPr>
                      <w:rFonts w:ascii="Cambria Math" w:hAnsi="Cambria Math" w:eastAsia="Times New Roman"/>
                      <w:color w:val="FF0000"/>
                      <w:szCs w:val="21"/>
                    </w:rPr>
                    <m:t>K</m:t>
                  </m:r>
                  <m:ctrlPr>
                    <w:rPr>
                      <w:rFonts w:ascii="Cambria Math" w:hAnsi="Cambria Math" w:eastAsia="Times New Roman"/>
                      <w:color w:val="FF0000"/>
                      <w:szCs w:val="21"/>
                    </w:rPr>
                  </m:ctrlPr>
                </m:e>
                <m:sub>
                  <m:r>
                    <m:rPr>
                      <m:sty m:val="p"/>
                    </m:rPr>
                    <w:rPr>
                      <w:rFonts w:ascii="Cambria Math" w:hAnsi="Cambria Math" w:eastAsia="Times New Roman"/>
                      <w:color w:val="FF0000"/>
                      <w:szCs w:val="21"/>
                    </w:rPr>
                    <m:t>PUSCH</m:t>
                  </m:r>
                  <m:ctrlPr>
                    <w:rPr>
                      <w:rFonts w:ascii="Cambria Math" w:hAnsi="Cambria Math" w:eastAsia="Times New Roman"/>
                      <w:color w:val="FF0000"/>
                      <w:szCs w:val="21"/>
                    </w:rPr>
                  </m:ctrlPr>
                </m:sub>
              </m:sSub>
              <m:d>
                <m:dPr>
                  <m:ctrlPr>
                    <w:rPr>
                      <w:rFonts w:ascii="Cambria Math" w:hAnsi="Cambria Math" w:eastAsia="Times New Roman"/>
                      <w:color w:val="FF0000"/>
                      <w:szCs w:val="21"/>
                    </w:rPr>
                  </m:ctrlPr>
                </m:dPr>
                <m:e>
                  <m:r>
                    <m:rPr/>
                    <w:rPr>
                      <w:rFonts w:ascii="Cambria Math" w:hAnsi="Cambria Math" w:eastAsia="Times New Roman"/>
                      <w:color w:val="FF0000"/>
                      <w:szCs w:val="21"/>
                    </w:rPr>
                    <m:t>m</m:t>
                  </m:r>
                  <m:ctrlPr>
                    <w:rPr>
                      <w:rFonts w:ascii="Cambria Math" w:hAnsi="Cambria Math" w:eastAsia="Times New Roman"/>
                      <w:color w:val="FF0000"/>
                      <w:szCs w:val="21"/>
                    </w:rPr>
                  </m:ctrlPr>
                </m:e>
              </m:d>
            </m:oMath>
            <w:r>
              <w:rPr>
                <w:rFonts w:eastAsia="Times New Roman"/>
                <w:color w:val="FF0000"/>
                <w:szCs w:val="21"/>
              </w:rPr>
              <w:t> symbols before transmission occasion </w:t>
            </w:r>
            <w:r>
              <w:rPr>
                <w:i/>
                <w:color w:val="FF0000"/>
                <w:szCs w:val="21"/>
              </w:rPr>
              <w:t>m</w:t>
            </w:r>
            <w:r>
              <w:rPr>
                <w:rFonts w:eastAsia="Times New Roman"/>
                <w:color w:val="FF0000"/>
                <w:szCs w:val="21"/>
              </w:rPr>
              <w:t> but no later than </w:t>
            </w:r>
            <m:oMath>
              <m:sSub>
                <m:sSubPr>
                  <m:ctrlPr>
                    <w:rPr>
                      <w:rFonts w:ascii="Cambria Math" w:hAnsi="Cambria Math" w:eastAsia="Times New Roman"/>
                      <w:color w:val="FF0000"/>
                      <w:szCs w:val="21"/>
                    </w:rPr>
                  </m:ctrlPr>
                </m:sSubPr>
                <m:e>
                  <m:r>
                    <m:rPr/>
                    <w:rPr>
                      <w:rFonts w:ascii="Cambria Math" w:hAnsi="Cambria Math" w:eastAsia="Times New Roman"/>
                      <w:color w:val="FF0000"/>
                      <w:szCs w:val="21"/>
                    </w:rPr>
                    <m:t>K</m:t>
                  </m:r>
                  <m:ctrlPr>
                    <w:rPr>
                      <w:rFonts w:ascii="Cambria Math" w:hAnsi="Cambria Math" w:eastAsia="Times New Roman"/>
                      <w:color w:val="FF0000"/>
                      <w:szCs w:val="21"/>
                    </w:rPr>
                  </m:ctrlPr>
                </m:e>
                <m:sub>
                  <m:r>
                    <m:rPr>
                      <m:sty m:val="p"/>
                    </m:rPr>
                    <w:rPr>
                      <w:rFonts w:ascii="Cambria Math" w:hAnsi="Cambria Math" w:eastAsia="Times New Roman"/>
                      <w:color w:val="FF0000"/>
                      <w:szCs w:val="21"/>
                    </w:rPr>
                    <m:t>PUSCH</m:t>
                  </m:r>
                  <m:ctrlPr>
                    <w:rPr>
                      <w:rFonts w:ascii="Cambria Math" w:hAnsi="Cambria Math" w:eastAsia="Times New Roman"/>
                      <w:color w:val="FF0000"/>
                      <w:szCs w:val="21"/>
                    </w:rPr>
                  </m:ctrlPr>
                </m:sub>
              </m:sSub>
              <m:d>
                <m:dPr>
                  <m:ctrlPr>
                    <w:rPr>
                      <w:rFonts w:ascii="Cambria Math" w:hAnsi="Cambria Math" w:eastAsia="Times New Roman"/>
                      <w:color w:val="FF0000"/>
                      <w:szCs w:val="21"/>
                    </w:rPr>
                  </m:ctrlPr>
                </m:dPr>
                <m:e>
                  <m:r>
                    <m:rPr/>
                    <w:rPr>
                      <w:rFonts w:ascii="Cambria Math" w:hAnsi="Cambria Math" w:eastAsia="Times New Roman"/>
                      <w:color w:val="FF0000"/>
                      <w:szCs w:val="21"/>
                    </w:rPr>
                    <m:t>n</m:t>
                  </m:r>
                  <m:ctrlPr>
                    <w:rPr>
                      <w:rFonts w:ascii="Cambria Math" w:hAnsi="Cambria Math" w:eastAsia="Times New Roman"/>
                      <w:color w:val="FF0000"/>
                      <w:szCs w:val="21"/>
                    </w:rPr>
                  </m:ctrlPr>
                </m:e>
              </m:d>
            </m:oMath>
            <w:r>
              <w:rPr>
                <w:rFonts w:eastAsia="Times New Roman"/>
                <w:color w:val="FF0000"/>
                <w:szCs w:val="21"/>
              </w:rPr>
              <w:t> symbols before transmission occasion</w:t>
            </w:r>
            <w:r>
              <w:rPr>
                <w:color w:val="FF0000"/>
                <w:szCs w:val="21"/>
              </w:rPr>
              <w:t xml:space="preserve"> </w:t>
            </w:r>
            <w:r>
              <w:rPr>
                <w:i/>
                <w:color w:val="FF0000"/>
                <w:szCs w:val="21"/>
              </w:rPr>
              <w:t>n</w:t>
            </w:r>
            <w:r>
              <w:rPr>
                <w:color w:val="FF0000"/>
                <w:szCs w:val="21"/>
              </w:rPr>
              <w:t>.</w:t>
            </w:r>
          </w:p>
          <w:p>
            <w:pPr>
              <w:adjustRightInd w:val="0"/>
              <w:snapToGrid w:val="0"/>
              <w:spacing w:after="0"/>
              <w:jc w:val="both"/>
              <w:rPr>
                <w:lang w:eastAsia="zh-CN"/>
              </w:rPr>
            </w:pPr>
          </w:p>
        </w:tc>
      </w:tr>
    </w:tbl>
    <w:p>
      <w:pPr>
        <w:adjustRightInd w:val="0"/>
        <w:snapToGrid w:val="0"/>
        <w:spacing w:after="0"/>
        <w:jc w:val="both"/>
        <w:rPr>
          <w:lang w:eastAsia="zh-CN"/>
        </w:rPr>
      </w:pPr>
    </w:p>
    <w:p>
      <w:pPr>
        <w:adjustRightInd w:val="0"/>
        <w:snapToGrid w:val="0"/>
        <w:spacing w:after="0"/>
        <w:jc w:val="both"/>
        <w:rPr>
          <w:color w:val="000000"/>
          <w:szCs w:val="21"/>
          <w:shd w:val="clear" w:color="auto" w:fill="FFFFFF"/>
        </w:rPr>
      </w:pPr>
      <w:r>
        <w:rPr>
          <w:color w:val="000000"/>
          <w:szCs w:val="21"/>
          <w:shd w:val="clear" w:color="auto" w:fill="FFFFFF"/>
        </w:rPr>
        <w:t xml:space="preserve">Among the many options, option 3a is slightly preferred. Though it seems the option 3a has solved the issue of double counting but cannot solve the issue TPC reversal. We are open that following the legacy TPC timeline and introduce a new behaviour if the  TDW is introduced. From our understanding, the power control issue in CG-DG interlacing could be solved through configuring different loop ID for CG and DG PUSCH. Or the option 3a could be used if the loop IDs are configured same. </w:t>
      </w:r>
    </w:p>
    <w:p>
      <w:pPr>
        <w:adjustRightInd w:val="0"/>
        <w:snapToGrid w:val="0"/>
        <w:spacing w:after="0"/>
        <w:jc w:val="both"/>
        <w:rPr>
          <w:color w:val="000000"/>
          <w:szCs w:val="21"/>
          <w:shd w:val="clear" w:color="auto" w:fill="FFFFFF"/>
        </w:rPr>
      </w:pPr>
    </w:p>
    <w:p>
      <w:pPr>
        <w:adjustRightInd w:val="0"/>
        <w:snapToGrid w:val="0"/>
        <w:spacing w:after="0"/>
        <w:jc w:val="both"/>
        <w:rPr>
          <w:color w:val="000000"/>
          <w:szCs w:val="21"/>
          <w:shd w:val="clear" w:color="auto" w:fill="FFFFFF"/>
          <w:lang w:eastAsia="zh-CN"/>
        </w:rPr>
      </w:pPr>
      <w:r>
        <w:rPr>
          <w:rFonts w:hint="eastAsia"/>
          <w:color w:val="000000"/>
          <w:szCs w:val="21"/>
          <w:shd w:val="clear" w:color="auto" w:fill="FFFFFF"/>
          <w:lang w:eastAsia="zh-CN"/>
        </w:rPr>
        <w:t>O</w:t>
      </w:r>
      <w:r>
        <w:rPr>
          <w:color w:val="000000"/>
          <w:szCs w:val="21"/>
          <w:shd w:val="clear" w:color="auto" w:fill="FFFFFF"/>
          <w:lang w:eastAsia="zh-CN"/>
        </w:rPr>
        <w:t xml:space="preserve">n the other hand, if no consensus would be reached in this meeting, we have no problem to consider the </w:t>
      </w:r>
      <w:r>
        <w:rPr>
          <w:szCs w:val="21"/>
        </w:rPr>
        <w:t xml:space="preserve">action of group common TPC commands with format 2_2 as an event. Since the gNB has the full knowledge of DMRS bundling and nominal TDW, we can consider it as an interruption signal. And for the other cases, such as TPC in the UL and DL grant DCI can still work under the JCE scenarios.  </w:t>
      </w:r>
    </w:p>
    <w:p>
      <w:pPr>
        <w:adjustRightInd w:val="0"/>
        <w:snapToGrid w:val="0"/>
        <w:spacing w:after="0"/>
        <w:jc w:val="both"/>
        <w:rPr>
          <w:color w:val="000000"/>
          <w:szCs w:val="21"/>
          <w:shd w:val="clear" w:color="auto" w:fill="FFFFFF"/>
        </w:rPr>
      </w:pPr>
    </w:p>
    <w:p>
      <w:pPr>
        <w:adjustRightInd w:val="0"/>
        <w:snapToGrid w:val="0"/>
        <w:spacing w:after="0"/>
        <w:jc w:val="both"/>
        <w:rPr>
          <w:b/>
          <w:bCs/>
          <w:color w:val="000000"/>
          <w:szCs w:val="21"/>
          <w:shd w:val="clear" w:color="auto" w:fill="FFFFFF"/>
          <w:lang w:eastAsia="zh-CN"/>
        </w:rPr>
      </w:pPr>
      <w:r>
        <w:rPr>
          <w:b/>
          <w:bCs/>
          <w:color w:val="000000"/>
          <w:szCs w:val="21"/>
          <w:shd w:val="clear" w:color="auto" w:fill="FFFFFF"/>
          <w:lang w:eastAsia="zh-CN"/>
        </w:rPr>
        <w:t>Proposal 4:</w:t>
      </w:r>
    </w:p>
    <w:p>
      <w:pPr>
        <w:autoSpaceDE w:val="0"/>
        <w:autoSpaceDN w:val="0"/>
        <w:adjustRightInd w:val="0"/>
        <w:snapToGrid w:val="0"/>
        <w:spacing w:after="120" w:line="259" w:lineRule="auto"/>
        <w:jc w:val="both"/>
        <w:rPr>
          <w:b/>
          <w:bCs/>
          <w:szCs w:val="21"/>
        </w:rPr>
      </w:pPr>
      <w:r>
        <w:rPr>
          <w:b/>
          <w:bCs/>
          <w:szCs w:val="21"/>
        </w:rPr>
        <w:t>If no consensus on how to capture the working assumption can be reached in RAN1#108-e, the action of group common TPC commands with format 2_2 is regarded as an event.</w:t>
      </w:r>
    </w:p>
    <w:p>
      <w:pPr>
        <w:adjustRightInd w:val="0"/>
        <w:snapToGrid w:val="0"/>
        <w:spacing w:after="0"/>
        <w:jc w:val="both"/>
        <w:rPr>
          <w:b/>
          <w:bCs/>
          <w:color w:val="000000"/>
          <w:szCs w:val="21"/>
          <w:shd w:val="clear" w:color="auto" w:fill="FFFFFF"/>
          <w:lang w:eastAsia="zh-CN"/>
        </w:rPr>
      </w:pPr>
    </w:p>
    <w:p>
      <w:pPr>
        <w:adjustRightInd w:val="0"/>
        <w:snapToGrid w:val="0"/>
        <w:spacing w:after="0"/>
        <w:rPr>
          <w:lang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this contribution, we provide our views on the above two remaining issues of joint channel estimation of PUSCH. The proposals are as below.</w:t>
      </w:r>
    </w:p>
    <w:p>
      <w:pPr>
        <w:adjustRightInd w:val="0"/>
        <w:snapToGrid w:val="0"/>
        <w:spacing w:after="0"/>
        <w:jc w:val="both"/>
        <w:rPr>
          <w:lang w:val="en-US" w:eastAsia="zh-CN"/>
        </w:rPr>
      </w:pPr>
    </w:p>
    <w:p>
      <w:pPr>
        <w:adjustRightInd w:val="0"/>
        <w:snapToGrid w:val="0"/>
        <w:spacing w:after="0"/>
        <w:rPr>
          <w:b/>
          <w:bCs/>
          <w:lang w:eastAsia="zh-CN"/>
        </w:rPr>
      </w:pPr>
      <w:r>
        <w:rPr>
          <w:b/>
          <w:bCs/>
          <w:lang w:eastAsia="zh-CN"/>
        </w:rPr>
        <w:t>Proposal 1:</w:t>
      </w:r>
    </w:p>
    <w:p>
      <w:pPr>
        <w:adjustRightInd w:val="0"/>
        <w:snapToGrid w:val="0"/>
        <w:spacing w:after="0"/>
        <w:rPr>
          <w:b/>
          <w:bCs/>
          <w:lang w:eastAsia="zh-CN"/>
        </w:rPr>
      </w:pPr>
      <w:r>
        <w:rPr>
          <w:b/>
          <w:bCs/>
          <w:lang w:eastAsia="zh-CN"/>
        </w:rPr>
        <w:t>I</w:t>
      </w:r>
      <w:r>
        <w:rPr>
          <w:rFonts w:hint="eastAsia"/>
          <w:b/>
          <w:bCs/>
          <w:lang w:eastAsia="zh-CN"/>
        </w:rPr>
        <w:t>t</w:t>
      </w:r>
      <w:r>
        <w:rPr>
          <w:b/>
          <w:bCs/>
          <w:lang w:eastAsia="zh-CN"/>
        </w:rPr>
        <w:t xml:space="preserve"> should be clarified for the meeting to use the 2</w:t>
      </w:r>
      <w:r>
        <w:rPr>
          <w:b/>
          <w:bCs/>
          <w:vertAlign w:val="superscript"/>
          <w:lang w:eastAsia="zh-CN"/>
        </w:rPr>
        <w:t>nd</w:t>
      </w:r>
      <w:r>
        <w:rPr>
          <w:b/>
          <w:bCs/>
          <w:lang w:eastAsia="zh-CN"/>
        </w:rPr>
        <w:t xml:space="preserve"> agreement above as the baseline to further discuss the issue of dynamic and semi-static events. </w:t>
      </w:r>
    </w:p>
    <w:p>
      <w:pPr>
        <w:adjustRightInd w:val="0"/>
        <w:snapToGrid w:val="0"/>
        <w:spacing w:after="0"/>
        <w:rPr>
          <w:b/>
          <w:bCs/>
          <w:lang w:eastAsia="zh-CN"/>
        </w:rPr>
      </w:pPr>
    </w:p>
    <w:p>
      <w:pPr>
        <w:adjustRightInd w:val="0"/>
        <w:snapToGrid w:val="0"/>
        <w:spacing w:after="0"/>
        <w:jc w:val="both"/>
        <w:rPr>
          <w:b/>
          <w:bCs/>
          <w:lang w:eastAsia="zh-CN"/>
        </w:rPr>
      </w:pPr>
      <w:r>
        <w:rPr>
          <w:b/>
          <w:bCs/>
          <w:lang w:eastAsia="zh-CN"/>
        </w:rPr>
        <w:t>Proposal 2:</w:t>
      </w:r>
    </w:p>
    <w:p>
      <w:pPr>
        <w:adjustRightInd w:val="0"/>
        <w:snapToGrid w:val="0"/>
        <w:spacing w:after="0"/>
        <w:rPr>
          <w:b/>
          <w:bCs/>
        </w:rPr>
      </w:pPr>
      <w:r>
        <w:rPr>
          <w:rFonts w:eastAsia="MS Mincho"/>
          <w:b/>
          <w:bCs/>
          <w:lang w:eastAsia="ja-JP"/>
        </w:rPr>
        <w:t>For UE not capable of restarting DM-RS bundling,</w:t>
      </w:r>
    </w:p>
    <w:p>
      <w:pPr>
        <w:pStyle w:val="33"/>
        <w:numPr>
          <w:ilvl w:val="0"/>
          <w:numId w:val="7"/>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33"/>
        <w:numPr>
          <w:ilvl w:val="0"/>
          <w:numId w:val="7"/>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3: </w:t>
      </w:r>
    </w:p>
    <w:p>
      <w:pPr>
        <w:autoSpaceDE w:val="0"/>
        <w:autoSpaceDN w:val="0"/>
        <w:adjustRightInd w:val="0"/>
        <w:snapToGrid w:val="0"/>
        <w:spacing w:after="0"/>
        <w:jc w:val="both"/>
        <w:rPr>
          <w:b/>
          <w:bCs/>
          <w:lang w:eastAsia="zh-CN"/>
        </w:rPr>
      </w:pPr>
      <w:r>
        <w:rPr>
          <w:b/>
          <w:bCs/>
          <w:lang w:eastAsia="zh-CN"/>
        </w:rPr>
        <w:t xml:space="preserve">The specification could be updated to clarify this dynamic and semi-static event issue. </w:t>
      </w:r>
    </w:p>
    <w:p>
      <w:pPr>
        <w:adjustRightInd w:val="0"/>
        <w:snapToGrid w:val="0"/>
        <w:spacing w:after="0"/>
        <w:rPr>
          <w:b/>
          <w:bCs/>
          <w:lang w:eastAsia="zh-CN"/>
        </w:rPr>
      </w:pPr>
    </w:p>
    <w:p>
      <w:pPr>
        <w:adjustRightInd w:val="0"/>
        <w:snapToGrid w:val="0"/>
        <w:spacing w:after="0"/>
        <w:jc w:val="both"/>
        <w:rPr>
          <w:b/>
          <w:bCs/>
          <w:color w:val="000000"/>
          <w:szCs w:val="21"/>
          <w:shd w:val="clear" w:color="auto" w:fill="FFFFFF"/>
          <w:lang w:eastAsia="zh-CN"/>
        </w:rPr>
      </w:pPr>
      <w:r>
        <w:rPr>
          <w:b/>
          <w:bCs/>
          <w:color w:val="000000"/>
          <w:szCs w:val="21"/>
          <w:shd w:val="clear" w:color="auto" w:fill="FFFFFF"/>
          <w:lang w:eastAsia="zh-CN"/>
        </w:rPr>
        <w:t>Proposal 4:</w:t>
      </w:r>
    </w:p>
    <w:p>
      <w:pPr>
        <w:autoSpaceDE w:val="0"/>
        <w:autoSpaceDN w:val="0"/>
        <w:adjustRightInd w:val="0"/>
        <w:snapToGrid w:val="0"/>
        <w:spacing w:after="120" w:line="259" w:lineRule="auto"/>
        <w:jc w:val="both"/>
        <w:rPr>
          <w:b/>
          <w:bCs/>
          <w:szCs w:val="21"/>
        </w:rPr>
      </w:pPr>
      <w:r>
        <w:rPr>
          <w:b/>
          <w:bCs/>
          <w:szCs w:val="21"/>
        </w:rPr>
        <w:t>If no consensus on how to capture the working assumption can be reached in RAN1#108-e, the action of group common TPC commands with format 2_2 is regarded as an event.</w:t>
      </w:r>
    </w:p>
    <w:p>
      <w:pPr>
        <w:adjustRightInd w:val="0"/>
        <w:snapToGrid w:val="0"/>
        <w:spacing w:after="0"/>
        <w:rPr>
          <w:b/>
          <w:bCs/>
          <w:lang w:eastAsia="zh-CN"/>
        </w:rPr>
      </w:pPr>
    </w:p>
    <w:p>
      <w:pPr>
        <w:adjustRightInd w:val="0"/>
        <w:snapToGrid w:val="0"/>
        <w:spacing w:after="0"/>
        <w:jc w:val="both"/>
        <w:rPr>
          <w:lang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7"/>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w:t>
      </w:r>
      <w:r>
        <w:t>Chair’s notes of 3GPP TSG RAN WG1 #108e</w:t>
      </w:r>
      <w:r>
        <w:rPr>
          <w:iCs/>
          <w:lang w:eastAsia="zh-CN"/>
        </w:rPr>
        <w:t xml:space="preserve">, e-Meeting, </w:t>
      </w:r>
      <w:r>
        <w:t>February 21st – March 3rd, 2022</w:t>
      </w:r>
      <w:r>
        <w:rPr>
          <w:iCs/>
          <w:lang w:eastAsia="zh-CN"/>
        </w:rPr>
        <w:t>.</w:t>
      </w:r>
    </w:p>
    <w:p>
      <w:pPr>
        <w:pStyle w:val="47"/>
        <w:numPr>
          <w:ilvl w:val="0"/>
          <w:numId w:val="0"/>
        </w:numPr>
        <w:ind w:left="100" w:leftChars="50"/>
        <w:rPr>
          <w:iCs/>
          <w:lang w:eastAsia="zh-CN"/>
        </w:rPr>
      </w:pPr>
      <w:r>
        <w:rPr>
          <w:iCs/>
          <w:lang w:eastAsia="zh-CN"/>
        </w:rPr>
        <w:t xml:space="preserve">[2] </w:t>
      </w:r>
      <w:r>
        <w:t>Draft Report of 3GPP TSG RAN WG1 #107-e</w:t>
      </w:r>
      <w:r>
        <w:rPr>
          <w:iCs/>
          <w:lang w:eastAsia="zh-CN"/>
        </w:rPr>
        <w:t>, e-Meeting, November 11th – 19th, 2021.</w:t>
      </w:r>
    </w:p>
    <w:p>
      <w:pPr>
        <w:pStyle w:val="47"/>
        <w:numPr>
          <w:ilvl w:val="0"/>
          <w:numId w:val="0"/>
        </w:numPr>
        <w:ind w:left="100" w:leftChars="50"/>
      </w:pPr>
      <w:r>
        <w:rPr>
          <w:rFonts w:hint="eastAsia"/>
        </w:rPr>
        <w:t>[</w:t>
      </w:r>
      <w:r>
        <w:t>3] R1-2200823, Corrections further to the introduction of coverage enhancements in NR, NOKIA, 3GPP TSG-RAN WG1 Meeting #107bis-e, Electronic Meeting, January 17th – 25th, 2022</w:t>
      </w:r>
    </w:p>
    <w:p>
      <w:pPr>
        <w:pStyle w:val="47"/>
        <w:numPr>
          <w:ilvl w:val="0"/>
          <w:numId w:val="0"/>
        </w:numPr>
        <w:ind w:left="100" w:leftChars="50"/>
        <w:rPr>
          <w:iCs/>
          <w:lang w:eastAsia="zh-CN"/>
        </w:rPr>
      </w:pPr>
    </w:p>
    <w:p>
      <w:pPr>
        <w:pStyle w:val="47"/>
        <w:numPr>
          <w:ilvl w:val="0"/>
          <w:numId w:val="0"/>
        </w:numPr>
        <w:ind w:left="100" w:leftChars="50"/>
        <w:rPr>
          <w:i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AA7EB6"/>
    <w:multiLevelType w:val="multilevel"/>
    <w:tmpl w:val="09AA7E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47"/>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5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E10FBD"/>
    <w:multiLevelType w:val="multilevel"/>
    <w:tmpl w:val="41E10F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5DB4BF4"/>
    <w:multiLevelType w:val="multilevel"/>
    <w:tmpl w:val="65DB4B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9701C8C"/>
    <w:multiLevelType w:val="multilevel"/>
    <w:tmpl w:val="79701C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18D"/>
    <w:rsid w:val="00040247"/>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84F"/>
    <w:rsid w:val="00096A08"/>
    <w:rsid w:val="00097234"/>
    <w:rsid w:val="0009746F"/>
    <w:rsid w:val="0009777E"/>
    <w:rsid w:val="000A03AB"/>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4F"/>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8DA"/>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D8A"/>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5F1"/>
    <w:rsid w:val="00182A1B"/>
    <w:rsid w:val="00183412"/>
    <w:rsid w:val="0018366A"/>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96AC9"/>
    <w:rsid w:val="001A21AF"/>
    <w:rsid w:val="001A2E42"/>
    <w:rsid w:val="001A2E96"/>
    <w:rsid w:val="001A3348"/>
    <w:rsid w:val="001A3431"/>
    <w:rsid w:val="001A3E3D"/>
    <w:rsid w:val="001A408D"/>
    <w:rsid w:val="001A6271"/>
    <w:rsid w:val="001A68A9"/>
    <w:rsid w:val="001A7416"/>
    <w:rsid w:val="001A7EA4"/>
    <w:rsid w:val="001B028B"/>
    <w:rsid w:val="001B07A1"/>
    <w:rsid w:val="001B1860"/>
    <w:rsid w:val="001B1B42"/>
    <w:rsid w:val="001B1BAC"/>
    <w:rsid w:val="001B2090"/>
    <w:rsid w:val="001B21F4"/>
    <w:rsid w:val="001B2850"/>
    <w:rsid w:val="001B38DA"/>
    <w:rsid w:val="001B3CAB"/>
    <w:rsid w:val="001B65D1"/>
    <w:rsid w:val="001B75E2"/>
    <w:rsid w:val="001C005A"/>
    <w:rsid w:val="001C0B61"/>
    <w:rsid w:val="001C13AE"/>
    <w:rsid w:val="001C3C8C"/>
    <w:rsid w:val="001C3CF9"/>
    <w:rsid w:val="001C44BA"/>
    <w:rsid w:val="001C4507"/>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350"/>
    <w:rsid w:val="001D7C7B"/>
    <w:rsid w:val="001E06D5"/>
    <w:rsid w:val="001E0F65"/>
    <w:rsid w:val="001E2201"/>
    <w:rsid w:val="001E23FD"/>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560"/>
    <w:rsid w:val="00232F96"/>
    <w:rsid w:val="00233044"/>
    <w:rsid w:val="002333DF"/>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38"/>
    <w:rsid w:val="00255EB5"/>
    <w:rsid w:val="0025618D"/>
    <w:rsid w:val="00256AD0"/>
    <w:rsid w:val="002576A5"/>
    <w:rsid w:val="00257AC8"/>
    <w:rsid w:val="0026009E"/>
    <w:rsid w:val="0026171A"/>
    <w:rsid w:val="0026247C"/>
    <w:rsid w:val="002636C8"/>
    <w:rsid w:val="00263CD2"/>
    <w:rsid w:val="00264404"/>
    <w:rsid w:val="0026508D"/>
    <w:rsid w:val="00265491"/>
    <w:rsid w:val="002659F2"/>
    <w:rsid w:val="00265D81"/>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D4"/>
    <w:rsid w:val="00291CB9"/>
    <w:rsid w:val="002926DF"/>
    <w:rsid w:val="002926EE"/>
    <w:rsid w:val="002938B5"/>
    <w:rsid w:val="00293C7F"/>
    <w:rsid w:val="00293CD8"/>
    <w:rsid w:val="00293D2A"/>
    <w:rsid w:val="00293D97"/>
    <w:rsid w:val="00294434"/>
    <w:rsid w:val="002956BA"/>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607"/>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5550"/>
    <w:rsid w:val="002C6023"/>
    <w:rsid w:val="002C7C05"/>
    <w:rsid w:val="002D011B"/>
    <w:rsid w:val="002D021E"/>
    <w:rsid w:val="002D132A"/>
    <w:rsid w:val="002D15A1"/>
    <w:rsid w:val="002D1798"/>
    <w:rsid w:val="002D1C0F"/>
    <w:rsid w:val="002D2224"/>
    <w:rsid w:val="002D25D0"/>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342F"/>
    <w:rsid w:val="002F4EE7"/>
    <w:rsid w:val="002F5764"/>
    <w:rsid w:val="002F60A9"/>
    <w:rsid w:val="002F6A09"/>
    <w:rsid w:val="002F6A0D"/>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60F6"/>
    <w:rsid w:val="003163C4"/>
    <w:rsid w:val="00316994"/>
    <w:rsid w:val="00316D18"/>
    <w:rsid w:val="00317242"/>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133D"/>
    <w:rsid w:val="00332441"/>
    <w:rsid w:val="003346D8"/>
    <w:rsid w:val="00335044"/>
    <w:rsid w:val="003378E9"/>
    <w:rsid w:val="00337D9F"/>
    <w:rsid w:val="00340001"/>
    <w:rsid w:val="00340410"/>
    <w:rsid w:val="00340D7D"/>
    <w:rsid w:val="00340DB2"/>
    <w:rsid w:val="00342B7F"/>
    <w:rsid w:val="00342CE3"/>
    <w:rsid w:val="00342D04"/>
    <w:rsid w:val="003432E3"/>
    <w:rsid w:val="00343D88"/>
    <w:rsid w:val="003444C5"/>
    <w:rsid w:val="00344704"/>
    <w:rsid w:val="00345058"/>
    <w:rsid w:val="0034573D"/>
    <w:rsid w:val="003466A1"/>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59B"/>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1A8"/>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283"/>
    <w:rsid w:val="003D18F9"/>
    <w:rsid w:val="003D2CEE"/>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1979"/>
    <w:rsid w:val="003F2656"/>
    <w:rsid w:val="003F26CB"/>
    <w:rsid w:val="003F2AF2"/>
    <w:rsid w:val="003F2B7E"/>
    <w:rsid w:val="003F2F3F"/>
    <w:rsid w:val="003F3522"/>
    <w:rsid w:val="003F3B22"/>
    <w:rsid w:val="003F3F3B"/>
    <w:rsid w:val="003F40F0"/>
    <w:rsid w:val="003F4AAA"/>
    <w:rsid w:val="003F5F36"/>
    <w:rsid w:val="003F6064"/>
    <w:rsid w:val="003F61AF"/>
    <w:rsid w:val="003F72E2"/>
    <w:rsid w:val="003F7BD4"/>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F2C"/>
    <w:rsid w:val="00412ACD"/>
    <w:rsid w:val="00412C85"/>
    <w:rsid w:val="00415247"/>
    <w:rsid w:val="00415281"/>
    <w:rsid w:val="00415485"/>
    <w:rsid w:val="00416F6D"/>
    <w:rsid w:val="004171B6"/>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475F6"/>
    <w:rsid w:val="00450369"/>
    <w:rsid w:val="00451887"/>
    <w:rsid w:val="004524D5"/>
    <w:rsid w:val="004533BF"/>
    <w:rsid w:val="00453A72"/>
    <w:rsid w:val="0045547D"/>
    <w:rsid w:val="00455892"/>
    <w:rsid w:val="0045614D"/>
    <w:rsid w:val="00456235"/>
    <w:rsid w:val="00456D42"/>
    <w:rsid w:val="00456ECA"/>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826"/>
    <w:rsid w:val="00472A6B"/>
    <w:rsid w:val="004738D9"/>
    <w:rsid w:val="00474D1E"/>
    <w:rsid w:val="0047564E"/>
    <w:rsid w:val="004758FF"/>
    <w:rsid w:val="004759D8"/>
    <w:rsid w:val="00475AC1"/>
    <w:rsid w:val="0047609F"/>
    <w:rsid w:val="004766A1"/>
    <w:rsid w:val="00476836"/>
    <w:rsid w:val="0047754C"/>
    <w:rsid w:val="004777C2"/>
    <w:rsid w:val="004804F4"/>
    <w:rsid w:val="0048158E"/>
    <w:rsid w:val="00481926"/>
    <w:rsid w:val="00481C6C"/>
    <w:rsid w:val="00481C7E"/>
    <w:rsid w:val="00482D97"/>
    <w:rsid w:val="004831E3"/>
    <w:rsid w:val="00484F15"/>
    <w:rsid w:val="00485326"/>
    <w:rsid w:val="004853F9"/>
    <w:rsid w:val="00485A50"/>
    <w:rsid w:val="004865A6"/>
    <w:rsid w:val="004868D0"/>
    <w:rsid w:val="00486B98"/>
    <w:rsid w:val="00486F25"/>
    <w:rsid w:val="0049001A"/>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97C53"/>
    <w:rsid w:val="004A0AD4"/>
    <w:rsid w:val="004A29D6"/>
    <w:rsid w:val="004A2A1F"/>
    <w:rsid w:val="004A4BAA"/>
    <w:rsid w:val="004A51C3"/>
    <w:rsid w:val="004A63A2"/>
    <w:rsid w:val="004A66B0"/>
    <w:rsid w:val="004A7274"/>
    <w:rsid w:val="004A7ACC"/>
    <w:rsid w:val="004B0214"/>
    <w:rsid w:val="004B047A"/>
    <w:rsid w:val="004B1D20"/>
    <w:rsid w:val="004B29D0"/>
    <w:rsid w:val="004B34ED"/>
    <w:rsid w:val="004B3958"/>
    <w:rsid w:val="004B3C17"/>
    <w:rsid w:val="004B5417"/>
    <w:rsid w:val="004B5B45"/>
    <w:rsid w:val="004B60E3"/>
    <w:rsid w:val="004B6A7E"/>
    <w:rsid w:val="004B6D8B"/>
    <w:rsid w:val="004B74DF"/>
    <w:rsid w:val="004B7D66"/>
    <w:rsid w:val="004C0848"/>
    <w:rsid w:val="004C0B9F"/>
    <w:rsid w:val="004C1727"/>
    <w:rsid w:val="004C1C50"/>
    <w:rsid w:val="004C3006"/>
    <w:rsid w:val="004C32DB"/>
    <w:rsid w:val="004C557B"/>
    <w:rsid w:val="004C5867"/>
    <w:rsid w:val="004C7306"/>
    <w:rsid w:val="004C7D41"/>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A7"/>
    <w:rsid w:val="004F49B9"/>
    <w:rsid w:val="004F555A"/>
    <w:rsid w:val="004F55BE"/>
    <w:rsid w:val="004F5918"/>
    <w:rsid w:val="004F5D95"/>
    <w:rsid w:val="004F5E6A"/>
    <w:rsid w:val="004F636C"/>
    <w:rsid w:val="004F7EF0"/>
    <w:rsid w:val="00500ECA"/>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05A4"/>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54E50"/>
    <w:rsid w:val="00556F90"/>
    <w:rsid w:val="00560186"/>
    <w:rsid w:val="005607FB"/>
    <w:rsid w:val="005608D3"/>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13D1"/>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CA5"/>
    <w:rsid w:val="00582E56"/>
    <w:rsid w:val="005830BD"/>
    <w:rsid w:val="00583154"/>
    <w:rsid w:val="005832A1"/>
    <w:rsid w:val="00585054"/>
    <w:rsid w:val="00585883"/>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5668"/>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7DB"/>
    <w:rsid w:val="005D3DD9"/>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5FE3"/>
    <w:rsid w:val="005F7590"/>
    <w:rsid w:val="005F786A"/>
    <w:rsid w:val="0060010F"/>
    <w:rsid w:val="00600763"/>
    <w:rsid w:val="00600DE2"/>
    <w:rsid w:val="00600F85"/>
    <w:rsid w:val="006015EF"/>
    <w:rsid w:val="00602D2E"/>
    <w:rsid w:val="0060342F"/>
    <w:rsid w:val="00603E93"/>
    <w:rsid w:val="00603EB6"/>
    <w:rsid w:val="00604579"/>
    <w:rsid w:val="0060460C"/>
    <w:rsid w:val="00605539"/>
    <w:rsid w:val="00605BB6"/>
    <w:rsid w:val="00607DDE"/>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25C4"/>
    <w:rsid w:val="0062401B"/>
    <w:rsid w:val="00624159"/>
    <w:rsid w:val="006255B4"/>
    <w:rsid w:val="00625FBA"/>
    <w:rsid w:val="0063174D"/>
    <w:rsid w:val="00632BC4"/>
    <w:rsid w:val="00633C46"/>
    <w:rsid w:val="00634E90"/>
    <w:rsid w:val="0063510A"/>
    <w:rsid w:val="00637022"/>
    <w:rsid w:val="00637569"/>
    <w:rsid w:val="00640159"/>
    <w:rsid w:val="006401BE"/>
    <w:rsid w:val="006404BA"/>
    <w:rsid w:val="00640991"/>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16F"/>
    <w:rsid w:val="0064760A"/>
    <w:rsid w:val="0064764F"/>
    <w:rsid w:val="0064782A"/>
    <w:rsid w:val="006501C8"/>
    <w:rsid w:val="006523FB"/>
    <w:rsid w:val="00652D6F"/>
    <w:rsid w:val="0065324D"/>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CAB"/>
    <w:rsid w:val="00664E5E"/>
    <w:rsid w:val="0066591F"/>
    <w:rsid w:val="00665DFF"/>
    <w:rsid w:val="00666D17"/>
    <w:rsid w:val="00667650"/>
    <w:rsid w:val="00671593"/>
    <w:rsid w:val="00671ADD"/>
    <w:rsid w:val="00671B81"/>
    <w:rsid w:val="006722D1"/>
    <w:rsid w:val="00672746"/>
    <w:rsid w:val="0067343D"/>
    <w:rsid w:val="006742E6"/>
    <w:rsid w:val="006743E1"/>
    <w:rsid w:val="00674D9A"/>
    <w:rsid w:val="00674DAC"/>
    <w:rsid w:val="006757BA"/>
    <w:rsid w:val="006759D9"/>
    <w:rsid w:val="00675A06"/>
    <w:rsid w:val="00675C1A"/>
    <w:rsid w:val="00675ECC"/>
    <w:rsid w:val="0067647A"/>
    <w:rsid w:val="00676CEA"/>
    <w:rsid w:val="00676DDA"/>
    <w:rsid w:val="00676E7E"/>
    <w:rsid w:val="00677574"/>
    <w:rsid w:val="00680EE1"/>
    <w:rsid w:val="006814FB"/>
    <w:rsid w:val="00682AAA"/>
    <w:rsid w:val="00682CB6"/>
    <w:rsid w:val="00682D39"/>
    <w:rsid w:val="00682DCB"/>
    <w:rsid w:val="00683E98"/>
    <w:rsid w:val="00684A12"/>
    <w:rsid w:val="0068551F"/>
    <w:rsid w:val="00686F2C"/>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0D5C"/>
    <w:rsid w:val="006A1995"/>
    <w:rsid w:val="006A1DFB"/>
    <w:rsid w:val="006A22C4"/>
    <w:rsid w:val="006A22FD"/>
    <w:rsid w:val="006A2389"/>
    <w:rsid w:val="006A285A"/>
    <w:rsid w:val="006A33FB"/>
    <w:rsid w:val="006A38C9"/>
    <w:rsid w:val="006A6091"/>
    <w:rsid w:val="006A73AF"/>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5385"/>
    <w:rsid w:val="006E6B42"/>
    <w:rsid w:val="006E6BFC"/>
    <w:rsid w:val="006E6CDE"/>
    <w:rsid w:val="006E6E77"/>
    <w:rsid w:val="006F0D22"/>
    <w:rsid w:val="006F161F"/>
    <w:rsid w:val="006F222B"/>
    <w:rsid w:val="006F26A4"/>
    <w:rsid w:val="006F297E"/>
    <w:rsid w:val="006F2DC0"/>
    <w:rsid w:val="006F337E"/>
    <w:rsid w:val="006F37CF"/>
    <w:rsid w:val="006F38A7"/>
    <w:rsid w:val="006F3D6A"/>
    <w:rsid w:val="006F5684"/>
    <w:rsid w:val="006F59D3"/>
    <w:rsid w:val="006F5E54"/>
    <w:rsid w:val="006F6E90"/>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760C"/>
    <w:rsid w:val="007079CC"/>
    <w:rsid w:val="00710C82"/>
    <w:rsid w:val="00710EA1"/>
    <w:rsid w:val="007115B1"/>
    <w:rsid w:val="007119FE"/>
    <w:rsid w:val="00711A07"/>
    <w:rsid w:val="00711C4B"/>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902"/>
    <w:rsid w:val="00733C22"/>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582"/>
    <w:rsid w:val="007475F4"/>
    <w:rsid w:val="007478D3"/>
    <w:rsid w:val="00747D68"/>
    <w:rsid w:val="007514CE"/>
    <w:rsid w:val="007532F8"/>
    <w:rsid w:val="00753555"/>
    <w:rsid w:val="007537CF"/>
    <w:rsid w:val="00753FF2"/>
    <w:rsid w:val="00755265"/>
    <w:rsid w:val="00755374"/>
    <w:rsid w:val="0075558A"/>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17FC"/>
    <w:rsid w:val="00782485"/>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68C6"/>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1346"/>
    <w:rsid w:val="007D1CD5"/>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CCB"/>
    <w:rsid w:val="007E5F92"/>
    <w:rsid w:val="007E67F9"/>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6030"/>
    <w:rsid w:val="00816094"/>
    <w:rsid w:val="00817277"/>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A5A"/>
    <w:rsid w:val="00844BB9"/>
    <w:rsid w:val="00844E68"/>
    <w:rsid w:val="008458FF"/>
    <w:rsid w:val="00846192"/>
    <w:rsid w:val="00846DDC"/>
    <w:rsid w:val="00847280"/>
    <w:rsid w:val="008506F7"/>
    <w:rsid w:val="008507D7"/>
    <w:rsid w:val="00850808"/>
    <w:rsid w:val="0085089B"/>
    <w:rsid w:val="00851CB9"/>
    <w:rsid w:val="00853C3B"/>
    <w:rsid w:val="008540FD"/>
    <w:rsid w:val="008544C5"/>
    <w:rsid w:val="008549E7"/>
    <w:rsid w:val="008556AE"/>
    <w:rsid w:val="00857425"/>
    <w:rsid w:val="00857A85"/>
    <w:rsid w:val="00857E92"/>
    <w:rsid w:val="008605DC"/>
    <w:rsid w:val="00860B1E"/>
    <w:rsid w:val="00860EE4"/>
    <w:rsid w:val="00861E1F"/>
    <w:rsid w:val="008630FD"/>
    <w:rsid w:val="0086365D"/>
    <w:rsid w:val="008639B7"/>
    <w:rsid w:val="00863DE7"/>
    <w:rsid w:val="00864E93"/>
    <w:rsid w:val="0086544B"/>
    <w:rsid w:val="0086624C"/>
    <w:rsid w:val="00866C69"/>
    <w:rsid w:val="00866DAA"/>
    <w:rsid w:val="00866F7F"/>
    <w:rsid w:val="008703BB"/>
    <w:rsid w:val="008703F2"/>
    <w:rsid w:val="00870EB0"/>
    <w:rsid w:val="008715C9"/>
    <w:rsid w:val="008715D6"/>
    <w:rsid w:val="0087194D"/>
    <w:rsid w:val="00872B28"/>
    <w:rsid w:val="008734A1"/>
    <w:rsid w:val="00873DB3"/>
    <w:rsid w:val="00873FEC"/>
    <w:rsid w:val="0087573C"/>
    <w:rsid w:val="00875E38"/>
    <w:rsid w:val="00876524"/>
    <w:rsid w:val="00876D16"/>
    <w:rsid w:val="00876D4A"/>
    <w:rsid w:val="008771E8"/>
    <w:rsid w:val="008778D6"/>
    <w:rsid w:val="00877E58"/>
    <w:rsid w:val="0088115A"/>
    <w:rsid w:val="00881409"/>
    <w:rsid w:val="00883211"/>
    <w:rsid w:val="008839C5"/>
    <w:rsid w:val="00884EAE"/>
    <w:rsid w:val="00885D0A"/>
    <w:rsid w:val="00885E49"/>
    <w:rsid w:val="00886046"/>
    <w:rsid w:val="00886097"/>
    <w:rsid w:val="00887A28"/>
    <w:rsid w:val="00887DF5"/>
    <w:rsid w:val="00890429"/>
    <w:rsid w:val="008904F6"/>
    <w:rsid w:val="008907AC"/>
    <w:rsid w:val="008911BA"/>
    <w:rsid w:val="0089121C"/>
    <w:rsid w:val="00893541"/>
    <w:rsid w:val="008936BC"/>
    <w:rsid w:val="0089438D"/>
    <w:rsid w:val="008958E8"/>
    <w:rsid w:val="00895E5D"/>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4ACE"/>
    <w:rsid w:val="00915C7D"/>
    <w:rsid w:val="00916348"/>
    <w:rsid w:val="00920145"/>
    <w:rsid w:val="00920747"/>
    <w:rsid w:val="00920C98"/>
    <w:rsid w:val="00920D77"/>
    <w:rsid w:val="009212E6"/>
    <w:rsid w:val="0092132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2A6"/>
    <w:rsid w:val="0093778E"/>
    <w:rsid w:val="00937FA4"/>
    <w:rsid w:val="00941891"/>
    <w:rsid w:val="00941A2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6EC"/>
    <w:rsid w:val="0097479C"/>
    <w:rsid w:val="00974A82"/>
    <w:rsid w:val="0097580B"/>
    <w:rsid w:val="00976197"/>
    <w:rsid w:val="009774A0"/>
    <w:rsid w:val="00977EFC"/>
    <w:rsid w:val="00980862"/>
    <w:rsid w:val="00981690"/>
    <w:rsid w:val="00982080"/>
    <w:rsid w:val="00982504"/>
    <w:rsid w:val="0098260D"/>
    <w:rsid w:val="00983A26"/>
    <w:rsid w:val="00983DD5"/>
    <w:rsid w:val="009843FE"/>
    <w:rsid w:val="00984877"/>
    <w:rsid w:val="00984988"/>
    <w:rsid w:val="00986296"/>
    <w:rsid w:val="00987B34"/>
    <w:rsid w:val="009904F0"/>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97FD7"/>
    <w:rsid w:val="009A074F"/>
    <w:rsid w:val="009A13E6"/>
    <w:rsid w:val="009A143E"/>
    <w:rsid w:val="009A28B9"/>
    <w:rsid w:val="009A2EFB"/>
    <w:rsid w:val="009A38E5"/>
    <w:rsid w:val="009A3CB2"/>
    <w:rsid w:val="009A431F"/>
    <w:rsid w:val="009A52E0"/>
    <w:rsid w:val="009A5326"/>
    <w:rsid w:val="009A5F4F"/>
    <w:rsid w:val="009A612F"/>
    <w:rsid w:val="009A6B55"/>
    <w:rsid w:val="009A76BB"/>
    <w:rsid w:val="009A7D59"/>
    <w:rsid w:val="009B28AE"/>
    <w:rsid w:val="009B3749"/>
    <w:rsid w:val="009B6BCE"/>
    <w:rsid w:val="009B713A"/>
    <w:rsid w:val="009B74AF"/>
    <w:rsid w:val="009C1B4C"/>
    <w:rsid w:val="009C1D1A"/>
    <w:rsid w:val="009C1E0B"/>
    <w:rsid w:val="009C2114"/>
    <w:rsid w:val="009C24F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BCD"/>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4BA"/>
    <w:rsid w:val="009F393A"/>
    <w:rsid w:val="009F423C"/>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6EA3"/>
    <w:rsid w:val="00A0775D"/>
    <w:rsid w:val="00A0782B"/>
    <w:rsid w:val="00A11840"/>
    <w:rsid w:val="00A121C6"/>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58C9"/>
    <w:rsid w:val="00A4609A"/>
    <w:rsid w:val="00A469B6"/>
    <w:rsid w:val="00A50AD9"/>
    <w:rsid w:val="00A51CB9"/>
    <w:rsid w:val="00A51DDB"/>
    <w:rsid w:val="00A52301"/>
    <w:rsid w:val="00A53218"/>
    <w:rsid w:val="00A543B2"/>
    <w:rsid w:val="00A5514D"/>
    <w:rsid w:val="00A5531E"/>
    <w:rsid w:val="00A56090"/>
    <w:rsid w:val="00A56454"/>
    <w:rsid w:val="00A56FA3"/>
    <w:rsid w:val="00A57645"/>
    <w:rsid w:val="00A578F1"/>
    <w:rsid w:val="00A57D27"/>
    <w:rsid w:val="00A6041B"/>
    <w:rsid w:val="00A60AE3"/>
    <w:rsid w:val="00A61A17"/>
    <w:rsid w:val="00A61B1C"/>
    <w:rsid w:val="00A623D3"/>
    <w:rsid w:val="00A62515"/>
    <w:rsid w:val="00A62CF5"/>
    <w:rsid w:val="00A62D51"/>
    <w:rsid w:val="00A63989"/>
    <w:rsid w:val="00A63EB3"/>
    <w:rsid w:val="00A649D3"/>
    <w:rsid w:val="00A65A97"/>
    <w:rsid w:val="00A6658D"/>
    <w:rsid w:val="00A66A8E"/>
    <w:rsid w:val="00A6764D"/>
    <w:rsid w:val="00A67D2E"/>
    <w:rsid w:val="00A7078F"/>
    <w:rsid w:val="00A707E3"/>
    <w:rsid w:val="00A70A3F"/>
    <w:rsid w:val="00A70F44"/>
    <w:rsid w:val="00A724D2"/>
    <w:rsid w:val="00A743DF"/>
    <w:rsid w:val="00A74DCD"/>
    <w:rsid w:val="00A75015"/>
    <w:rsid w:val="00A755BA"/>
    <w:rsid w:val="00A75A6C"/>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B94"/>
    <w:rsid w:val="00A90E66"/>
    <w:rsid w:val="00A92DD1"/>
    <w:rsid w:val="00A93433"/>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20B"/>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D7FD1"/>
    <w:rsid w:val="00AE0306"/>
    <w:rsid w:val="00AE134D"/>
    <w:rsid w:val="00AE23EC"/>
    <w:rsid w:val="00AE36E6"/>
    <w:rsid w:val="00AE4293"/>
    <w:rsid w:val="00AE47D7"/>
    <w:rsid w:val="00AE49B5"/>
    <w:rsid w:val="00AE5348"/>
    <w:rsid w:val="00AE534B"/>
    <w:rsid w:val="00AE5492"/>
    <w:rsid w:val="00AE56D4"/>
    <w:rsid w:val="00AE5D4D"/>
    <w:rsid w:val="00AE7689"/>
    <w:rsid w:val="00AE7EC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27CE"/>
    <w:rsid w:val="00B134DA"/>
    <w:rsid w:val="00B144D5"/>
    <w:rsid w:val="00B16296"/>
    <w:rsid w:val="00B16905"/>
    <w:rsid w:val="00B17DAB"/>
    <w:rsid w:val="00B205A5"/>
    <w:rsid w:val="00B2110E"/>
    <w:rsid w:val="00B21785"/>
    <w:rsid w:val="00B23009"/>
    <w:rsid w:val="00B23187"/>
    <w:rsid w:val="00B236A0"/>
    <w:rsid w:val="00B24C29"/>
    <w:rsid w:val="00B2518E"/>
    <w:rsid w:val="00B257C5"/>
    <w:rsid w:val="00B257FE"/>
    <w:rsid w:val="00B26BD8"/>
    <w:rsid w:val="00B26F6B"/>
    <w:rsid w:val="00B2703D"/>
    <w:rsid w:val="00B278EA"/>
    <w:rsid w:val="00B30444"/>
    <w:rsid w:val="00B307A3"/>
    <w:rsid w:val="00B30884"/>
    <w:rsid w:val="00B31C11"/>
    <w:rsid w:val="00B31F78"/>
    <w:rsid w:val="00B32BDE"/>
    <w:rsid w:val="00B332AA"/>
    <w:rsid w:val="00B34845"/>
    <w:rsid w:val="00B3485B"/>
    <w:rsid w:val="00B35253"/>
    <w:rsid w:val="00B35E38"/>
    <w:rsid w:val="00B367A6"/>
    <w:rsid w:val="00B36DD8"/>
    <w:rsid w:val="00B371C5"/>
    <w:rsid w:val="00B375E4"/>
    <w:rsid w:val="00B3774B"/>
    <w:rsid w:val="00B37942"/>
    <w:rsid w:val="00B4197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238"/>
    <w:rsid w:val="00B5550B"/>
    <w:rsid w:val="00B563D6"/>
    <w:rsid w:val="00B568BE"/>
    <w:rsid w:val="00B570C7"/>
    <w:rsid w:val="00B60053"/>
    <w:rsid w:val="00B60E3E"/>
    <w:rsid w:val="00B617B3"/>
    <w:rsid w:val="00B61A1C"/>
    <w:rsid w:val="00B62749"/>
    <w:rsid w:val="00B62948"/>
    <w:rsid w:val="00B6330A"/>
    <w:rsid w:val="00B63A77"/>
    <w:rsid w:val="00B6550C"/>
    <w:rsid w:val="00B67B35"/>
    <w:rsid w:val="00B706D4"/>
    <w:rsid w:val="00B70AD6"/>
    <w:rsid w:val="00B71392"/>
    <w:rsid w:val="00B720F4"/>
    <w:rsid w:val="00B72E6D"/>
    <w:rsid w:val="00B738AA"/>
    <w:rsid w:val="00B74475"/>
    <w:rsid w:val="00B745CD"/>
    <w:rsid w:val="00B751A2"/>
    <w:rsid w:val="00B75D57"/>
    <w:rsid w:val="00B76275"/>
    <w:rsid w:val="00B76FC9"/>
    <w:rsid w:val="00B77103"/>
    <w:rsid w:val="00B77C90"/>
    <w:rsid w:val="00B805A1"/>
    <w:rsid w:val="00B812B1"/>
    <w:rsid w:val="00B82CE4"/>
    <w:rsid w:val="00B83599"/>
    <w:rsid w:val="00B836DE"/>
    <w:rsid w:val="00B83AD0"/>
    <w:rsid w:val="00B8455A"/>
    <w:rsid w:val="00B84DE5"/>
    <w:rsid w:val="00B8611D"/>
    <w:rsid w:val="00B861CF"/>
    <w:rsid w:val="00B868E4"/>
    <w:rsid w:val="00B86B77"/>
    <w:rsid w:val="00B87DBA"/>
    <w:rsid w:val="00B905BA"/>
    <w:rsid w:val="00B91F75"/>
    <w:rsid w:val="00B920EA"/>
    <w:rsid w:val="00B92501"/>
    <w:rsid w:val="00B926D1"/>
    <w:rsid w:val="00B937AB"/>
    <w:rsid w:val="00B94A7C"/>
    <w:rsid w:val="00B94EC8"/>
    <w:rsid w:val="00B971AF"/>
    <w:rsid w:val="00BA0E25"/>
    <w:rsid w:val="00BA35AE"/>
    <w:rsid w:val="00BA3F11"/>
    <w:rsid w:val="00BA4F11"/>
    <w:rsid w:val="00BA55B6"/>
    <w:rsid w:val="00BA6806"/>
    <w:rsid w:val="00BA69F8"/>
    <w:rsid w:val="00BA79A3"/>
    <w:rsid w:val="00BA7C1B"/>
    <w:rsid w:val="00BA7DA1"/>
    <w:rsid w:val="00BB0D5A"/>
    <w:rsid w:val="00BB106B"/>
    <w:rsid w:val="00BB1769"/>
    <w:rsid w:val="00BB28C7"/>
    <w:rsid w:val="00BB296C"/>
    <w:rsid w:val="00BB2CB4"/>
    <w:rsid w:val="00BB3BCD"/>
    <w:rsid w:val="00BB3CD8"/>
    <w:rsid w:val="00BB4047"/>
    <w:rsid w:val="00BB4440"/>
    <w:rsid w:val="00BB4C3A"/>
    <w:rsid w:val="00BB4F88"/>
    <w:rsid w:val="00BB5BAD"/>
    <w:rsid w:val="00BB60E8"/>
    <w:rsid w:val="00BB61DB"/>
    <w:rsid w:val="00BB632B"/>
    <w:rsid w:val="00BC020C"/>
    <w:rsid w:val="00BC031A"/>
    <w:rsid w:val="00BC0DC0"/>
    <w:rsid w:val="00BC139F"/>
    <w:rsid w:val="00BC194E"/>
    <w:rsid w:val="00BC1DCF"/>
    <w:rsid w:val="00BC31A2"/>
    <w:rsid w:val="00BC31EB"/>
    <w:rsid w:val="00BC33B4"/>
    <w:rsid w:val="00BC3BEF"/>
    <w:rsid w:val="00BC4F76"/>
    <w:rsid w:val="00BC50D4"/>
    <w:rsid w:val="00BC5675"/>
    <w:rsid w:val="00BC6225"/>
    <w:rsid w:val="00BC67C9"/>
    <w:rsid w:val="00BC68BC"/>
    <w:rsid w:val="00BC6F67"/>
    <w:rsid w:val="00BC75AE"/>
    <w:rsid w:val="00BC7EF2"/>
    <w:rsid w:val="00BC7F7B"/>
    <w:rsid w:val="00BD02B0"/>
    <w:rsid w:val="00BD10EF"/>
    <w:rsid w:val="00BD1A84"/>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61D"/>
    <w:rsid w:val="00BE6AD2"/>
    <w:rsid w:val="00BE7353"/>
    <w:rsid w:val="00BF065D"/>
    <w:rsid w:val="00BF0932"/>
    <w:rsid w:val="00BF1230"/>
    <w:rsid w:val="00BF3A81"/>
    <w:rsid w:val="00BF6FB8"/>
    <w:rsid w:val="00BF793A"/>
    <w:rsid w:val="00BF7DD0"/>
    <w:rsid w:val="00C00ABA"/>
    <w:rsid w:val="00C00FEF"/>
    <w:rsid w:val="00C011A6"/>
    <w:rsid w:val="00C0205D"/>
    <w:rsid w:val="00C03886"/>
    <w:rsid w:val="00C039C7"/>
    <w:rsid w:val="00C03B58"/>
    <w:rsid w:val="00C03D7F"/>
    <w:rsid w:val="00C05102"/>
    <w:rsid w:val="00C05869"/>
    <w:rsid w:val="00C05910"/>
    <w:rsid w:val="00C05BBB"/>
    <w:rsid w:val="00C06350"/>
    <w:rsid w:val="00C06900"/>
    <w:rsid w:val="00C0771D"/>
    <w:rsid w:val="00C10648"/>
    <w:rsid w:val="00C112AA"/>
    <w:rsid w:val="00C117C6"/>
    <w:rsid w:val="00C11DFF"/>
    <w:rsid w:val="00C12064"/>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0BB"/>
    <w:rsid w:val="00C37C21"/>
    <w:rsid w:val="00C41110"/>
    <w:rsid w:val="00C41C22"/>
    <w:rsid w:val="00C41F44"/>
    <w:rsid w:val="00C4255C"/>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42A"/>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86C"/>
    <w:rsid w:val="00C83F81"/>
    <w:rsid w:val="00C83F98"/>
    <w:rsid w:val="00C84044"/>
    <w:rsid w:val="00C84AE4"/>
    <w:rsid w:val="00C854A7"/>
    <w:rsid w:val="00C857DC"/>
    <w:rsid w:val="00C866C0"/>
    <w:rsid w:val="00C868F5"/>
    <w:rsid w:val="00C86EBA"/>
    <w:rsid w:val="00C87C01"/>
    <w:rsid w:val="00C87C26"/>
    <w:rsid w:val="00C90C81"/>
    <w:rsid w:val="00C93066"/>
    <w:rsid w:val="00C937AE"/>
    <w:rsid w:val="00C946A3"/>
    <w:rsid w:val="00C95946"/>
    <w:rsid w:val="00C963EE"/>
    <w:rsid w:val="00C966E0"/>
    <w:rsid w:val="00C96846"/>
    <w:rsid w:val="00CA011B"/>
    <w:rsid w:val="00CA0310"/>
    <w:rsid w:val="00CA06C1"/>
    <w:rsid w:val="00CA06C8"/>
    <w:rsid w:val="00CA0AFE"/>
    <w:rsid w:val="00CA0C9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25"/>
    <w:rsid w:val="00CB7C75"/>
    <w:rsid w:val="00CC1043"/>
    <w:rsid w:val="00CC3049"/>
    <w:rsid w:val="00CC3162"/>
    <w:rsid w:val="00CC34BB"/>
    <w:rsid w:val="00CC36BD"/>
    <w:rsid w:val="00CC3B4E"/>
    <w:rsid w:val="00CC4302"/>
    <w:rsid w:val="00CC4AD1"/>
    <w:rsid w:val="00CC635F"/>
    <w:rsid w:val="00CC6630"/>
    <w:rsid w:val="00CC787B"/>
    <w:rsid w:val="00CC7A50"/>
    <w:rsid w:val="00CD0DE2"/>
    <w:rsid w:val="00CD2110"/>
    <w:rsid w:val="00CD340C"/>
    <w:rsid w:val="00CD3B28"/>
    <w:rsid w:val="00CD437D"/>
    <w:rsid w:val="00CD4486"/>
    <w:rsid w:val="00CD4EB9"/>
    <w:rsid w:val="00CD6BA5"/>
    <w:rsid w:val="00CD726F"/>
    <w:rsid w:val="00CD7AA5"/>
    <w:rsid w:val="00CE056A"/>
    <w:rsid w:val="00CE0888"/>
    <w:rsid w:val="00CE17DD"/>
    <w:rsid w:val="00CE2CBB"/>
    <w:rsid w:val="00CE3017"/>
    <w:rsid w:val="00CE32E0"/>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2C8"/>
    <w:rsid w:val="00D00BE0"/>
    <w:rsid w:val="00D01159"/>
    <w:rsid w:val="00D01C3A"/>
    <w:rsid w:val="00D036CF"/>
    <w:rsid w:val="00D039DB"/>
    <w:rsid w:val="00D040F5"/>
    <w:rsid w:val="00D0470B"/>
    <w:rsid w:val="00D04A20"/>
    <w:rsid w:val="00D04D69"/>
    <w:rsid w:val="00D05A1C"/>
    <w:rsid w:val="00D05CDB"/>
    <w:rsid w:val="00D10F19"/>
    <w:rsid w:val="00D113D4"/>
    <w:rsid w:val="00D11DC9"/>
    <w:rsid w:val="00D12C5B"/>
    <w:rsid w:val="00D12F68"/>
    <w:rsid w:val="00D13FF2"/>
    <w:rsid w:val="00D141A6"/>
    <w:rsid w:val="00D16C65"/>
    <w:rsid w:val="00D16F79"/>
    <w:rsid w:val="00D2016C"/>
    <w:rsid w:val="00D2094C"/>
    <w:rsid w:val="00D20DF5"/>
    <w:rsid w:val="00D21264"/>
    <w:rsid w:val="00D21834"/>
    <w:rsid w:val="00D23374"/>
    <w:rsid w:val="00D239CB"/>
    <w:rsid w:val="00D248AD"/>
    <w:rsid w:val="00D24F9D"/>
    <w:rsid w:val="00D25B16"/>
    <w:rsid w:val="00D25EF1"/>
    <w:rsid w:val="00D265A7"/>
    <w:rsid w:val="00D26F12"/>
    <w:rsid w:val="00D3063A"/>
    <w:rsid w:val="00D30D79"/>
    <w:rsid w:val="00D32889"/>
    <w:rsid w:val="00D33097"/>
    <w:rsid w:val="00D336EC"/>
    <w:rsid w:val="00D33C2F"/>
    <w:rsid w:val="00D34061"/>
    <w:rsid w:val="00D3448D"/>
    <w:rsid w:val="00D3455D"/>
    <w:rsid w:val="00D34D04"/>
    <w:rsid w:val="00D357B0"/>
    <w:rsid w:val="00D3630E"/>
    <w:rsid w:val="00D37219"/>
    <w:rsid w:val="00D37A13"/>
    <w:rsid w:val="00D403F3"/>
    <w:rsid w:val="00D40BBF"/>
    <w:rsid w:val="00D40D10"/>
    <w:rsid w:val="00D410E3"/>
    <w:rsid w:val="00D41829"/>
    <w:rsid w:val="00D419D1"/>
    <w:rsid w:val="00D41E1E"/>
    <w:rsid w:val="00D41E3F"/>
    <w:rsid w:val="00D41FEE"/>
    <w:rsid w:val="00D421D3"/>
    <w:rsid w:val="00D42869"/>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582E"/>
    <w:rsid w:val="00D6654F"/>
    <w:rsid w:val="00D668F6"/>
    <w:rsid w:val="00D66906"/>
    <w:rsid w:val="00D669B2"/>
    <w:rsid w:val="00D701FB"/>
    <w:rsid w:val="00D708DA"/>
    <w:rsid w:val="00D70BF9"/>
    <w:rsid w:val="00D71A56"/>
    <w:rsid w:val="00D74076"/>
    <w:rsid w:val="00D7577C"/>
    <w:rsid w:val="00D75796"/>
    <w:rsid w:val="00D75BC8"/>
    <w:rsid w:val="00D76BC0"/>
    <w:rsid w:val="00D76BCB"/>
    <w:rsid w:val="00D772F8"/>
    <w:rsid w:val="00D7767B"/>
    <w:rsid w:val="00D80A54"/>
    <w:rsid w:val="00D81183"/>
    <w:rsid w:val="00D815AC"/>
    <w:rsid w:val="00D82102"/>
    <w:rsid w:val="00D82753"/>
    <w:rsid w:val="00D82BF5"/>
    <w:rsid w:val="00D83BC4"/>
    <w:rsid w:val="00D85550"/>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5FC"/>
    <w:rsid w:val="00DA193F"/>
    <w:rsid w:val="00DA1DA3"/>
    <w:rsid w:val="00DA1DD0"/>
    <w:rsid w:val="00DA1F89"/>
    <w:rsid w:val="00DA2142"/>
    <w:rsid w:val="00DA24A7"/>
    <w:rsid w:val="00DA308A"/>
    <w:rsid w:val="00DA3203"/>
    <w:rsid w:val="00DA330A"/>
    <w:rsid w:val="00DA3362"/>
    <w:rsid w:val="00DA44CF"/>
    <w:rsid w:val="00DA5175"/>
    <w:rsid w:val="00DA5967"/>
    <w:rsid w:val="00DB000A"/>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0FDC"/>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3E53"/>
    <w:rsid w:val="00DD52A1"/>
    <w:rsid w:val="00DD58E7"/>
    <w:rsid w:val="00DD5E89"/>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7D9"/>
    <w:rsid w:val="00DE5977"/>
    <w:rsid w:val="00DE5FB6"/>
    <w:rsid w:val="00DE6199"/>
    <w:rsid w:val="00DE6215"/>
    <w:rsid w:val="00DE6272"/>
    <w:rsid w:val="00DE7525"/>
    <w:rsid w:val="00DE7AB2"/>
    <w:rsid w:val="00DE7E45"/>
    <w:rsid w:val="00DF009A"/>
    <w:rsid w:val="00DF0352"/>
    <w:rsid w:val="00DF0D04"/>
    <w:rsid w:val="00DF120E"/>
    <w:rsid w:val="00DF1B3E"/>
    <w:rsid w:val="00DF26C1"/>
    <w:rsid w:val="00DF2FFB"/>
    <w:rsid w:val="00DF35D9"/>
    <w:rsid w:val="00DF3AF9"/>
    <w:rsid w:val="00DF3E63"/>
    <w:rsid w:val="00DF42D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13"/>
    <w:rsid w:val="00E11658"/>
    <w:rsid w:val="00E117F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340"/>
    <w:rsid w:val="00E326B1"/>
    <w:rsid w:val="00E327C1"/>
    <w:rsid w:val="00E33AE7"/>
    <w:rsid w:val="00E33D04"/>
    <w:rsid w:val="00E349A8"/>
    <w:rsid w:val="00E35289"/>
    <w:rsid w:val="00E352C0"/>
    <w:rsid w:val="00E354A1"/>
    <w:rsid w:val="00E361A5"/>
    <w:rsid w:val="00E36651"/>
    <w:rsid w:val="00E36ABF"/>
    <w:rsid w:val="00E37C1E"/>
    <w:rsid w:val="00E40C17"/>
    <w:rsid w:val="00E41A59"/>
    <w:rsid w:val="00E41BDD"/>
    <w:rsid w:val="00E41FCA"/>
    <w:rsid w:val="00E4220C"/>
    <w:rsid w:val="00E42A69"/>
    <w:rsid w:val="00E43BC7"/>
    <w:rsid w:val="00E4426C"/>
    <w:rsid w:val="00E44905"/>
    <w:rsid w:val="00E455D1"/>
    <w:rsid w:val="00E45D10"/>
    <w:rsid w:val="00E46993"/>
    <w:rsid w:val="00E46EA3"/>
    <w:rsid w:val="00E4726D"/>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482"/>
    <w:rsid w:val="00E64FC3"/>
    <w:rsid w:val="00E65478"/>
    <w:rsid w:val="00E6552E"/>
    <w:rsid w:val="00E65605"/>
    <w:rsid w:val="00E67012"/>
    <w:rsid w:val="00E677C4"/>
    <w:rsid w:val="00E7059B"/>
    <w:rsid w:val="00E70BC7"/>
    <w:rsid w:val="00E7279D"/>
    <w:rsid w:val="00E74516"/>
    <w:rsid w:val="00E74F1C"/>
    <w:rsid w:val="00E75B6C"/>
    <w:rsid w:val="00E76078"/>
    <w:rsid w:val="00E77554"/>
    <w:rsid w:val="00E779A8"/>
    <w:rsid w:val="00E77C1C"/>
    <w:rsid w:val="00E77F40"/>
    <w:rsid w:val="00E77FA1"/>
    <w:rsid w:val="00E801EC"/>
    <w:rsid w:val="00E80CC1"/>
    <w:rsid w:val="00E814D9"/>
    <w:rsid w:val="00E8161A"/>
    <w:rsid w:val="00E819D4"/>
    <w:rsid w:val="00E83333"/>
    <w:rsid w:val="00E838C9"/>
    <w:rsid w:val="00E85304"/>
    <w:rsid w:val="00E85320"/>
    <w:rsid w:val="00E85433"/>
    <w:rsid w:val="00E854F9"/>
    <w:rsid w:val="00E8799C"/>
    <w:rsid w:val="00E87C4E"/>
    <w:rsid w:val="00E90034"/>
    <w:rsid w:val="00E90798"/>
    <w:rsid w:val="00E90A02"/>
    <w:rsid w:val="00E90CF7"/>
    <w:rsid w:val="00E91B4D"/>
    <w:rsid w:val="00E927C1"/>
    <w:rsid w:val="00E93119"/>
    <w:rsid w:val="00E931A1"/>
    <w:rsid w:val="00E93483"/>
    <w:rsid w:val="00E9437E"/>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BB2"/>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61BD"/>
    <w:rsid w:val="00EB7219"/>
    <w:rsid w:val="00EB7703"/>
    <w:rsid w:val="00EC0516"/>
    <w:rsid w:val="00EC064B"/>
    <w:rsid w:val="00EC11C3"/>
    <w:rsid w:val="00EC51A9"/>
    <w:rsid w:val="00EC58CB"/>
    <w:rsid w:val="00EC5AEA"/>
    <w:rsid w:val="00EC5B59"/>
    <w:rsid w:val="00EC6788"/>
    <w:rsid w:val="00EC68F9"/>
    <w:rsid w:val="00EC6AEA"/>
    <w:rsid w:val="00EC6FF5"/>
    <w:rsid w:val="00EC748E"/>
    <w:rsid w:val="00ED02E0"/>
    <w:rsid w:val="00ED0575"/>
    <w:rsid w:val="00ED06B4"/>
    <w:rsid w:val="00ED19AC"/>
    <w:rsid w:val="00ED2982"/>
    <w:rsid w:val="00ED31DF"/>
    <w:rsid w:val="00ED402D"/>
    <w:rsid w:val="00ED4548"/>
    <w:rsid w:val="00ED5806"/>
    <w:rsid w:val="00ED657E"/>
    <w:rsid w:val="00ED6A99"/>
    <w:rsid w:val="00ED6B1B"/>
    <w:rsid w:val="00ED7DE3"/>
    <w:rsid w:val="00EE0A42"/>
    <w:rsid w:val="00EE0C1D"/>
    <w:rsid w:val="00EE0CA9"/>
    <w:rsid w:val="00EE1308"/>
    <w:rsid w:val="00EE1314"/>
    <w:rsid w:val="00EE1DE9"/>
    <w:rsid w:val="00EE2564"/>
    <w:rsid w:val="00EE35C4"/>
    <w:rsid w:val="00EE3CFA"/>
    <w:rsid w:val="00EE3D8B"/>
    <w:rsid w:val="00EE458D"/>
    <w:rsid w:val="00EE554B"/>
    <w:rsid w:val="00EE728D"/>
    <w:rsid w:val="00EE7581"/>
    <w:rsid w:val="00EF05F3"/>
    <w:rsid w:val="00EF0CD6"/>
    <w:rsid w:val="00EF2CC1"/>
    <w:rsid w:val="00EF35F6"/>
    <w:rsid w:val="00EF3786"/>
    <w:rsid w:val="00EF3E86"/>
    <w:rsid w:val="00EF41DC"/>
    <w:rsid w:val="00EF5530"/>
    <w:rsid w:val="00EF614D"/>
    <w:rsid w:val="00EF6447"/>
    <w:rsid w:val="00EF69D5"/>
    <w:rsid w:val="00EF6CE7"/>
    <w:rsid w:val="00EF6D9F"/>
    <w:rsid w:val="00EF6F57"/>
    <w:rsid w:val="00EF7382"/>
    <w:rsid w:val="00EF7533"/>
    <w:rsid w:val="00F015D0"/>
    <w:rsid w:val="00F01CAE"/>
    <w:rsid w:val="00F027A3"/>
    <w:rsid w:val="00F03F5C"/>
    <w:rsid w:val="00F0488E"/>
    <w:rsid w:val="00F0569D"/>
    <w:rsid w:val="00F058B6"/>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0A6A"/>
    <w:rsid w:val="00F310D2"/>
    <w:rsid w:val="00F3157B"/>
    <w:rsid w:val="00F317BC"/>
    <w:rsid w:val="00F31AB7"/>
    <w:rsid w:val="00F32FAD"/>
    <w:rsid w:val="00F331DE"/>
    <w:rsid w:val="00F3338E"/>
    <w:rsid w:val="00F345A1"/>
    <w:rsid w:val="00F346BA"/>
    <w:rsid w:val="00F348E8"/>
    <w:rsid w:val="00F34A2D"/>
    <w:rsid w:val="00F34EC4"/>
    <w:rsid w:val="00F34F03"/>
    <w:rsid w:val="00F3520D"/>
    <w:rsid w:val="00F35CD8"/>
    <w:rsid w:val="00F3689D"/>
    <w:rsid w:val="00F36B62"/>
    <w:rsid w:val="00F36BA6"/>
    <w:rsid w:val="00F375F3"/>
    <w:rsid w:val="00F376D4"/>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AA9"/>
    <w:rsid w:val="00F57B13"/>
    <w:rsid w:val="00F619D7"/>
    <w:rsid w:val="00F62335"/>
    <w:rsid w:val="00F6265E"/>
    <w:rsid w:val="00F627C2"/>
    <w:rsid w:val="00F62EB4"/>
    <w:rsid w:val="00F6356C"/>
    <w:rsid w:val="00F644A0"/>
    <w:rsid w:val="00F64AD1"/>
    <w:rsid w:val="00F66080"/>
    <w:rsid w:val="00F664B4"/>
    <w:rsid w:val="00F6716C"/>
    <w:rsid w:val="00F70364"/>
    <w:rsid w:val="00F70485"/>
    <w:rsid w:val="00F708DF"/>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4B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332"/>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4EEA"/>
    <w:rsid w:val="00FE527D"/>
    <w:rsid w:val="00FE5658"/>
    <w:rsid w:val="00FE7ABF"/>
    <w:rsid w:val="00FF0310"/>
    <w:rsid w:val="00FF0BB3"/>
    <w:rsid w:val="00FF2089"/>
    <w:rsid w:val="00FF2F34"/>
    <w:rsid w:val="00FF2F6B"/>
    <w:rsid w:val="00FF42E1"/>
    <w:rsid w:val="00FF4906"/>
    <w:rsid w:val="00FF49BF"/>
    <w:rsid w:val="00FF532B"/>
    <w:rsid w:val="00FF61E4"/>
    <w:rsid w:val="00FF6522"/>
    <w:rsid w:val="00FF6749"/>
    <w:rsid w:val="00FF6DF0"/>
    <w:rsid w:val="00FF7B65"/>
    <w:rsid w:val="063E30E1"/>
    <w:rsid w:val="5A643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27"/>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kern w:val="0"/>
      <w:sz w:val="32"/>
      <w:szCs w:val="32"/>
      <w:lang w:val="en-GB" w:eastAsia="ko-KR" w:bidi="ar-SA"/>
    </w:rPr>
  </w:style>
  <w:style w:type="paragraph" w:styleId="3">
    <w:name w:val="heading 2"/>
    <w:basedOn w:val="2"/>
    <w:next w:val="1"/>
    <w:link w:val="36"/>
    <w:qFormat/>
    <w:uiPriority w:val="0"/>
    <w:pPr>
      <w:tabs>
        <w:tab w:val="clear" w:pos="426"/>
      </w:tabs>
      <w:spacing w:before="180"/>
      <w:outlineLvl w:val="1"/>
    </w:pPr>
    <w:rPr>
      <w:sz w:val="24"/>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4"/>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eastAsia="黑体" w:asciiTheme="majorHAnsi" w:hAnsiTheme="majorHAnsi" w:cstheme="majorBidi"/>
    </w:rPr>
  </w:style>
  <w:style w:type="paragraph" w:styleId="8">
    <w:name w:val="Document Map"/>
    <w:basedOn w:val="1"/>
    <w:link w:val="50"/>
    <w:semiHidden/>
    <w:unhideWhenUsed/>
    <w:qFormat/>
    <w:uiPriority w:val="99"/>
    <w:rPr>
      <w:rFonts w:ascii="宋体" w:eastAsia="宋体"/>
      <w:sz w:val="18"/>
      <w:szCs w:val="18"/>
    </w:rPr>
  </w:style>
  <w:style w:type="paragraph" w:styleId="9">
    <w:name w:val="annotation text"/>
    <w:basedOn w:val="1"/>
    <w:link w:val="37"/>
    <w:semiHidden/>
    <w:unhideWhenUsed/>
    <w:qFormat/>
    <w:uiPriority w:val="99"/>
  </w:style>
  <w:style w:type="paragraph" w:styleId="10">
    <w:name w:val="Body Text"/>
    <w:basedOn w:val="1"/>
    <w:link w:val="43"/>
    <w:semiHidden/>
    <w:unhideWhenUsed/>
    <w:qFormat/>
    <w:uiPriority w:val="99"/>
    <w:pPr>
      <w:spacing w:after="120"/>
    </w:pPr>
  </w:style>
  <w:style w:type="paragraph" w:styleId="11">
    <w:name w:val="toc 5"/>
    <w:basedOn w:val="12"/>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2">
    <w:name w:val="toc 4"/>
    <w:basedOn w:val="1"/>
    <w:next w:val="1"/>
    <w:semiHidden/>
    <w:unhideWhenUsed/>
    <w:qFormat/>
    <w:uiPriority w:val="39"/>
    <w:pPr>
      <w:ind w:left="1260" w:leftChars="600"/>
    </w:pPr>
  </w:style>
  <w:style w:type="paragraph" w:styleId="13">
    <w:name w:val="Balloon Text"/>
    <w:basedOn w:val="1"/>
    <w:link w:val="23"/>
    <w:semiHidden/>
    <w:unhideWhenUsed/>
    <w:qFormat/>
    <w:uiPriority w:val="99"/>
    <w:pPr>
      <w:spacing w:after="0"/>
    </w:pPr>
    <w:rPr>
      <w:sz w:val="18"/>
      <w:szCs w:val="18"/>
    </w:rPr>
  </w:style>
  <w:style w:type="paragraph" w:styleId="14">
    <w:name w:val="footer"/>
    <w:basedOn w:val="1"/>
    <w:link w:val="29"/>
    <w:unhideWhenUsed/>
    <w:qFormat/>
    <w:uiPriority w:val="99"/>
    <w:pPr>
      <w:tabs>
        <w:tab w:val="center" w:pos="4153"/>
        <w:tab w:val="right" w:pos="8306"/>
      </w:tabs>
      <w:snapToGrid w:val="0"/>
    </w:pPr>
    <w:rPr>
      <w:sz w:val="18"/>
      <w:szCs w:val="18"/>
    </w:rPr>
  </w:style>
  <w:style w:type="paragraph" w:styleId="15">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9"/>
    <w:next w:val="9"/>
    <w:link w:val="38"/>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21"/>
      <w:szCs w:val="21"/>
    </w:rPr>
  </w:style>
  <w:style w:type="character" w:customStyle="1" w:styleId="23">
    <w:name w:val="批注框文本 字符"/>
    <w:basedOn w:val="19"/>
    <w:link w:val="13"/>
    <w:semiHidden/>
    <w:qFormat/>
    <w:uiPriority w:val="99"/>
    <w:rPr>
      <w:rFonts w:ascii="Times New Roman" w:hAnsi="Times New Roman" w:cs="Times New Roman"/>
      <w:kern w:val="0"/>
      <w:sz w:val="18"/>
      <w:szCs w:val="18"/>
      <w:lang w:val="en-GB" w:eastAsia="en-US"/>
    </w:rPr>
  </w:style>
  <w:style w:type="paragraph" w:customStyle="1" w:styleId="24">
    <w:name w:val="B1"/>
    <w:basedOn w:val="1"/>
    <w:link w:val="25"/>
    <w:qFormat/>
    <w:uiPriority w:val="0"/>
    <w:pPr>
      <w:ind w:left="568" w:hanging="284"/>
    </w:pPr>
  </w:style>
  <w:style w:type="character" w:customStyle="1" w:styleId="25">
    <w:name w:val="B1 Zchn"/>
    <w:link w:val="24"/>
    <w:qFormat/>
    <w:uiPriority w:val="0"/>
    <w:rPr>
      <w:rFonts w:ascii="Times New Roman" w:hAnsi="Times New Roman" w:cs="Times New Roman"/>
      <w:kern w:val="0"/>
      <w:sz w:val="20"/>
      <w:szCs w:val="20"/>
      <w:lang w:eastAsia="en-US"/>
    </w:rPr>
  </w:style>
  <w:style w:type="paragraph" w:customStyle="1" w:styleId="26">
    <w:name w:val="CR Cover Page"/>
    <w:qFormat/>
    <w:uiPriority w:val="0"/>
    <w:pPr>
      <w:spacing w:after="120"/>
    </w:pPr>
    <w:rPr>
      <w:rFonts w:ascii="Arial" w:hAnsi="Arial" w:eastAsia="Malgun Gothic" w:cs="Times New Roman"/>
      <w:kern w:val="0"/>
      <w:sz w:val="20"/>
      <w:szCs w:val="20"/>
      <w:lang w:val="en-GB" w:eastAsia="en-US" w:bidi="ar-SA"/>
    </w:rPr>
  </w:style>
  <w:style w:type="character" w:customStyle="1" w:styleId="27">
    <w:name w:val="标题 1 字符"/>
    <w:basedOn w:val="19"/>
    <w:link w:val="2"/>
    <w:qFormat/>
    <w:uiPriority w:val="0"/>
    <w:rPr>
      <w:rFonts w:ascii="Arial" w:hAnsi="Arial" w:eastAsia="Batang" w:cs="Times New Roman"/>
      <w:kern w:val="0"/>
      <w:sz w:val="32"/>
      <w:szCs w:val="32"/>
      <w:lang w:val="en-GB" w:eastAsia="ko-KR"/>
    </w:rPr>
  </w:style>
  <w:style w:type="character" w:customStyle="1" w:styleId="28">
    <w:name w:val="页眉 字符"/>
    <w:basedOn w:val="19"/>
    <w:link w:val="15"/>
    <w:qFormat/>
    <w:uiPriority w:val="99"/>
    <w:rPr>
      <w:rFonts w:ascii="Times New Roman" w:hAnsi="Times New Roman" w:cs="Times New Roman"/>
      <w:kern w:val="0"/>
      <w:sz w:val="18"/>
      <w:szCs w:val="18"/>
      <w:lang w:val="en-GB" w:eastAsia="en-US"/>
    </w:rPr>
  </w:style>
  <w:style w:type="character" w:customStyle="1" w:styleId="29">
    <w:name w:val="页脚 字符"/>
    <w:basedOn w:val="19"/>
    <w:link w:val="14"/>
    <w:qFormat/>
    <w:uiPriority w:val="99"/>
    <w:rPr>
      <w:rFonts w:ascii="Times New Roman" w:hAnsi="Times New Roman" w:cs="Times New Roman"/>
      <w:kern w:val="0"/>
      <w:sz w:val="18"/>
      <w:szCs w:val="18"/>
      <w:lang w:val="en-GB" w:eastAsia="en-US"/>
    </w:rPr>
  </w:style>
  <w:style w:type="character" w:customStyle="1" w:styleId="30">
    <w:name w:val="标题 3 字符"/>
    <w:basedOn w:val="19"/>
    <w:link w:val="4"/>
    <w:semiHidden/>
    <w:qFormat/>
    <w:uiPriority w:val="9"/>
    <w:rPr>
      <w:rFonts w:ascii="Times New Roman" w:hAnsi="Times New Roman" w:cs="Times New Roman"/>
      <w:b/>
      <w:bCs/>
      <w:kern w:val="0"/>
      <w:sz w:val="32"/>
      <w:szCs w:val="32"/>
      <w:lang w:val="en-GB" w:eastAsia="en-US"/>
    </w:rPr>
  </w:style>
  <w:style w:type="character" w:customStyle="1" w:styleId="31">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2">
    <w:name w:val="B1 (文字)"/>
    <w:qFormat/>
    <w:locked/>
    <w:uiPriority w:val="0"/>
    <w:rPr>
      <w:lang w:val="en-GB"/>
    </w:rPr>
  </w:style>
  <w:style w:type="paragraph" w:styleId="33">
    <w:name w:val="List Paragraph"/>
    <w:basedOn w:val="1"/>
    <w:link w:val="45"/>
    <w:qFormat/>
    <w:uiPriority w:val="34"/>
    <w:pPr>
      <w:ind w:firstLine="420" w:firstLineChars="200"/>
    </w:pPr>
  </w:style>
  <w:style w:type="paragraph" w:customStyle="1" w:styleId="34">
    <w:name w:val="main text"/>
    <w:basedOn w:val="1"/>
    <w:link w:val="35"/>
    <w:qFormat/>
    <w:uiPriority w:val="0"/>
    <w:pPr>
      <w:spacing w:before="60" w:after="60" w:line="288" w:lineRule="auto"/>
      <w:ind w:firstLine="200" w:firstLineChars="200"/>
      <w:jc w:val="both"/>
    </w:pPr>
    <w:rPr>
      <w:rFonts w:eastAsia="Malgun Gothic"/>
      <w:lang w:eastAsia="ko-KR"/>
    </w:rPr>
  </w:style>
  <w:style w:type="character" w:customStyle="1" w:styleId="35">
    <w:name w:val="main text Char"/>
    <w:link w:val="34"/>
    <w:qFormat/>
    <w:uiPriority w:val="0"/>
    <w:rPr>
      <w:rFonts w:ascii="Times New Roman" w:hAnsi="Times New Roman" w:eastAsia="Malgun Gothic" w:cs="Times New Roman"/>
      <w:kern w:val="0"/>
      <w:sz w:val="20"/>
      <w:szCs w:val="20"/>
      <w:lang w:val="en-GB" w:eastAsia="ko-KR"/>
    </w:rPr>
  </w:style>
  <w:style w:type="character" w:customStyle="1" w:styleId="36">
    <w:name w:val="标题 2 字符"/>
    <w:basedOn w:val="19"/>
    <w:link w:val="3"/>
    <w:qFormat/>
    <w:uiPriority w:val="0"/>
    <w:rPr>
      <w:rFonts w:ascii="Arial" w:hAnsi="Arial" w:eastAsia="Batang" w:cs="Times New Roman"/>
      <w:kern w:val="0"/>
      <w:sz w:val="24"/>
      <w:szCs w:val="32"/>
      <w:lang w:val="en-GB" w:eastAsia="ko-KR"/>
    </w:rPr>
  </w:style>
  <w:style w:type="character" w:customStyle="1" w:styleId="37">
    <w:name w:val="批注文字 字符"/>
    <w:basedOn w:val="19"/>
    <w:link w:val="9"/>
    <w:qFormat/>
    <w:uiPriority w:val="99"/>
    <w:rPr>
      <w:rFonts w:ascii="Times New Roman" w:hAnsi="Times New Roman" w:cs="Times New Roman"/>
      <w:kern w:val="0"/>
      <w:sz w:val="20"/>
      <w:szCs w:val="20"/>
      <w:lang w:val="en-GB" w:eastAsia="en-US"/>
    </w:rPr>
  </w:style>
  <w:style w:type="character" w:customStyle="1" w:styleId="38">
    <w:name w:val="批注主题 字符"/>
    <w:basedOn w:val="37"/>
    <w:link w:val="16"/>
    <w:semiHidden/>
    <w:qFormat/>
    <w:uiPriority w:val="99"/>
    <w:rPr>
      <w:rFonts w:ascii="Times New Roman" w:hAnsi="Times New Roman" w:cs="Times New Roman"/>
      <w:b/>
      <w:bCs/>
      <w:kern w:val="0"/>
      <w:sz w:val="20"/>
      <w:szCs w:val="20"/>
      <w:lang w:val="en-GB" w:eastAsia="en-US"/>
    </w:rPr>
  </w:style>
  <w:style w:type="paragraph" w:customStyle="1" w:styleId="39">
    <w:name w:val="3GPP_Header"/>
    <w:basedOn w:val="1"/>
    <w:link w:val="40"/>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0">
    <w:name w:val="3GPP_Header Char"/>
    <w:link w:val="39"/>
    <w:qFormat/>
    <w:uiPriority w:val="0"/>
    <w:rPr>
      <w:rFonts w:ascii="Times New Roman" w:hAnsi="Times New Roman" w:eastAsia="Times New Roman" w:cs="Times New Roman"/>
      <w:b/>
      <w:kern w:val="0"/>
      <w:sz w:val="24"/>
      <w:szCs w:val="20"/>
      <w:lang w:val="en-GB"/>
    </w:rPr>
  </w:style>
  <w:style w:type="paragraph" w:customStyle="1" w:styleId="41">
    <w:name w:val="3GPP Normal Text"/>
    <w:basedOn w:val="10"/>
    <w:link w:val="42"/>
    <w:qFormat/>
    <w:uiPriority w:val="0"/>
    <w:pPr>
      <w:ind w:left="720" w:hanging="720"/>
      <w:jc w:val="both"/>
    </w:pPr>
    <w:rPr>
      <w:rFonts w:eastAsia="MS Mincho"/>
      <w:sz w:val="22"/>
      <w:szCs w:val="24"/>
    </w:rPr>
  </w:style>
  <w:style w:type="character" w:customStyle="1" w:styleId="42">
    <w:name w:val="3GPP Normal Text Char"/>
    <w:link w:val="41"/>
    <w:qFormat/>
    <w:uiPriority w:val="0"/>
    <w:rPr>
      <w:rFonts w:ascii="Times New Roman" w:hAnsi="Times New Roman" w:eastAsia="MS Mincho" w:cs="Times New Roman"/>
      <w:kern w:val="0"/>
      <w:sz w:val="22"/>
      <w:szCs w:val="24"/>
    </w:rPr>
  </w:style>
  <w:style w:type="character" w:customStyle="1" w:styleId="43">
    <w:name w:val="正文文本 字符"/>
    <w:basedOn w:val="19"/>
    <w:link w:val="10"/>
    <w:semiHidden/>
    <w:qFormat/>
    <w:uiPriority w:val="99"/>
    <w:rPr>
      <w:rFonts w:ascii="Times New Roman" w:hAnsi="Times New Roman" w:cs="Times New Roman"/>
      <w:kern w:val="0"/>
      <w:sz w:val="20"/>
      <w:szCs w:val="20"/>
      <w:lang w:val="en-GB" w:eastAsia="en-US"/>
    </w:rPr>
  </w:style>
  <w:style w:type="paragraph" w:customStyle="1" w:styleId="44">
    <w:name w:val="Revision"/>
    <w:hidden/>
    <w:semiHidden/>
    <w:qFormat/>
    <w:uiPriority w:val="99"/>
    <w:rPr>
      <w:rFonts w:ascii="Times New Roman" w:hAnsi="Times New Roman" w:cs="Times New Roman" w:eastAsiaTheme="minorEastAsia"/>
      <w:kern w:val="0"/>
      <w:sz w:val="20"/>
      <w:szCs w:val="20"/>
      <w:lang w:val="en-GB" w:eastAsia="en-US" w:bidi="ar-SA"/>
    </w:rPr>
  </w:style>
  <w:style w:type="character" w:customStyle="1" w:styleId="45">
    <w:name w:val="列表段落 字符"/>
    <w:link w:val="33"/>
    <w:qFormat/>
    <w:uiPriority w:val="34"/>
    <w:rPr>
      <w:rFonts w:ascii="Times New Roman" w:hAnsi="Times New Roman" w:cs="Times New Roman"/>
      <w:kern w:val="0"/>
      <w:sz w:val="20"/>
      <w:szCs w:val="20"/>
      <w:lang w:val="en-GB" w:eastAsia="en-US"/>
    </w:rPr>
  </w:style>
  <w:style w:type="paragraph" w:customStyle="1" w:styleId="46">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7">
    <w:name w:val="References"/>
    <w:basedOn w:val="1"/>
    <w:qFormat/>
    <w:uiPriority w:val="0"/>
    <w:pPr>
      <w:numPr>
        <w:ilvl w:val="0"/>
        <w:numId w:val="2"/>
      </w:numPr>
      <w:autoSpaceDE w:val="0"/>
      <w:autoSpaceDN w:val="0"/>
      <w:snapToGrid w:val="0"/>
      <w:spacing w:after="60"/>
      <w:jc w:val="both"/>
    </w:pPr>
    <w:rPr>
      <w:rFonts w:eastAsia="宋体"/>
      <w:szCs w:val="16"/>
      <w:lang w:val="en-US"/>
    </w:rPr>
  </w:style>
  <w:style w:type="paragraph" w:customStyle="1" w:styleId="48">
    <w:name w:val="TAH"/>
    <w:basedOn w:val="1"/>
    <w:link w:val="49"/>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9">
    <w:name w:val="TAH Car"/>
    <w:basedOn w:val="19"/>
    <w:link w:val="48"/>
    <w:qFormat/>
    <w:uiPriority w:val="0"/>
    <w:rPr>
      <w:rFonts w:ascii="Arial" w:hAnsi="Arial"/>
      <w:b/>
      <w:sz w:val="18"/>
    </w:rPr>
  </w:style>
  <w:style w:type="character" w:customStyle="1" w:styleId="50">
    <w:name w:val="文档结构图 字符"/>
    <w:basedOn w:val="19"/>
    <w:link w:val="8"/>
    <w:semiHidden/>
    <w:qFormat/>
    <w:uiPriority w:val="99"/>
    <w:rPr>
      <w:rFonts w:ascii="宋体" w:hAnsi="Times New Roman" w:eastAsia="宋体" w:cs="Times New Roman"/>
      <w:kern w:val="0"/>
      <w:sz w:val="18"/>
      <w:szCs w:val="18"/>
      <w:lang w:val="en-GB" w:eastAsia="en-US"/>
    </w:rPr>
  </w:style>
  <w:style w:type="paragraph" w:customStyle="1" w:styleId="51">
    <w:name w:val="3GPP Agreements"/>
    <w:basedOn w:val="1"/>
    <w:link w:val="52"/>
    <w:qFormat/>
    <w:uiPriority w:val="0"/>
    <w:pPr>
      <w:numPr>
        <w:ilvl w:val="0"/>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2">
    <w:name w:val="3GPP Agreements Char"/>
    <w:link w:val="51"/>
    <w:qFormat/>
    <w:uiPriority w:val="0"/>
    <w:rPr>
      <w:rFonts w:ascii="Times New Roman" w:hAnsi="Times New Roman" w:eastAsia="宋体" w:cs="Times New Roman"/>
      <w:kern w:val="0"/>
      <w:sz w:val="22"/>
      <w:szCs w:val="20"/>
    </w:rPr>
  </w:style>
  <w:style w:type="character" w:customStyle="1" w:styleId="53">
    <w:name w:val="列表段落 字符1"/>
    <w:qFormat/>
    <w:locked/>
    <w:uiPriority w:val="34"/>
    <w:rPr>
      <w:rFonts w:eastAsia="宋体"/>
      <w:lang w:eastAsia="ja-JP"/>
    </w:rPr>
  </w:style>
  <w:style w:type="character" w:customStyle="1" w:styleId="54">
    <w:name w:val="标题 5 字符"/>
    <w:basedOn w:val="19"/>
    <w:link w:val="6"/>
    <w:semiHidden/>
    <w:qFormat/>
    <w:uiPriority w:val="9"/>
    <w:rPr>
      <w:rFonts w:ascii="Times New Roman" w:hAnsi="Times New Roman" w:cs="Times New Roman"/>
      <w:b/>
      <w:bCs/>
      <w:kern w:val="0"/>
      <w:sz w:val="28"/>
      <w:szCs w:val="28"/>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F1AFD-1506-4E4B-BF6A-658D93FA56BD}">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1591</Words>
  <Characters>9074</Characters>
  <Lines>75</Lines>
  <Paragraphs>21</Paragraphs>
  <TotalTime>243</TotalTime>
  <ScaleCrop>false</ScaleCrop>
  <LinksUpToDate>false</LinksUpToDate>
  <CharactersWithSpaces>10644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2022-04-18T12:18:00Z</dcterms:created>
  <dc:creator>zhengyi</dc:creator>
  <cp:lastModifiedBy>刘永畅</cp:lastModifiedBy>
  <cp:lastPrinted>2021-05-11T03:52:00Z</cp:lastPrinted>
  <dcterms:modified xsi:type="dcterms:W3CDTF">2022-04-24T06:35:03Z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58AD4790AB424DC1B6ED372EE61A1F39</vt:lpwstr>
  </property>
</Properties>
</file>